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sdt>
      <w:sdtPr>
        <w:docPartObj>
          <w:docPartGallery w:val="Table of Contents"/>
          <w:docPartUnique w:val="true"/>
        </w:docPartObj>
      </w:sdtPr>
      <w:sdtContent>
        <w:p>
          <w:pPr>
            <w:pStyle w:val="Nagwekspisutreci"/>
            <w:spacing w:lineRule="auto" w:line="360" w:before="240" w:after="120"/>
            <w:rPr>
              <w:rFonts w:ascii="ISOCPEUR" w:hAnsi="ISOCPEUR"/>
            </w:rPr>
          </w:pPr>
          <w:r>
            <w:rPr>
              <w:rFonts w:ascii="ISOCPEUR" w:hAnsi="ISOCPEUR"/>
            </w:rPr>
            <w:t>SPIS TREŚCI</w:t>
          </w:r>
        </w:p>
        <w:p>
          <w:pPr>
            <w:pStyle w:val="Spistreci1"/>
            <w:tabs>
              <w:tab w:val="clear" w:pos="142"/>
              <w:tab w:val="clear" w:pos="426"/>
              <w:tab w:val="clear" w:pos="9062"/>
              <w:tab w:val="right" w:pos="9072" w:leader="dot"/>
            </w:tabs>
            <w:spacing w:lineRule="auto" w:line="360"/>
            <w:rPr/>
          </w:pPr>
          <w:r>
            <w:fldChar w:fldCharType="begin"/>
          </w:r>
          <w:r>
            <w:rPr>
              <w:rStyle w:val="Czeindeksu"/>
              <w:rFonts w:ascii="ISOCPEUR" w:hAnsi="ISOCPEUR"/>
            </w:rPr>
            <w:instrText> TOC \o "1-3" \h</w:instrText>
          </w:r>
          <w:r>
            <w:rPr>
              <w:rStyle w:val="Czeindeksu"/>
              <w:rFonts w:ascii="ISOCPEUR" w:hAnsi="ISOCPEUR"/>
            </w:rPr>
            <w:fldChar w:fldCharType="separate"/>
          </w:r>
          <w:hyperlink w:anchor="__RefHeading___Toc6596_1471982776">
            <w:r>
              <w:rPr>
                <w:rStyle w:val="Czeindeksu"/>
                <w:rFonts w:ascii="ISOCPEUR" w:hAnsi="ISOCPEUR"/>
              </w:rPr>
              <w:t>1 PRZEDMIOT I PODSTAWA OPRACOWANIA</w:t>
              <w:tab/>
              <w:t>2</w:t>
            </w:r>
          </w:hyperlink>
        </w:p>
        <w:p>
          <w:pPr>
            <w:pStyle w:val="Spistreci2"/>
            <w:tabs>
              <w:tab w:val="clear" w:pos="284"/>
              <w:tab w:val="clear" w:pos="709"/>
              <w:tab w:val="clear" w:pos="9062"/>
              <w:tab w:val="right" w:pos="9072" w:leader="dot"/>
            </w:tabs>
            <w:spacing w:lineRule="auto" w:line="360"/>
            <w:rPr/>
          </w:pPr>
          <w:hyperlink w:anchor="__RefHeading___Toc6598_1471982776">
            <w:r>
              <w:rPr>
                <w:rStyle w:val="Czeindeksu"/>
                <w:rFonts w:ascii="ISOCPEUR" w:hAnsi="ISOCPEUR"/>
              </w:rPr>
              <w:t>1.1 Przedmiot i cel opracowania</w:t>
              <w:tab/>
              <w:t>2</w:t>
            </w:r>
          </w:hyperlink>
        </w:p>
        <w:p>
          <w:pPr>
            <w:pStyle w:val="Spistreci2"/>
            <w:tabs>
              <w:tab w:val="clear" w:pos="284"/>
              <w:tab w:val="clear" w:pos="709"/>
              <w:tab w:val="clear" w:pos="9062"/>
              <w:tab w:val="right" w:pos="9072" w:leader="dot"/>
            </w:tabs>
            <w:spacing w:lineRule="auto" w:line="360"/>
            <w:rPr/>
          </w:pPr>
          <w:hyperlink w:anchor="__RefHeading___Toc6600_1471982776">
            <w:r>
              <w:rPr>
                <w:rStyle w:val="Czeindeksu"/>
                <w:rFonts w:ascii="ISOCPEUR" w:hAnsi="ISOCPEUR"/>
              </w:rPr>
              <w:t>1.2 Uwagi wstępne</w:t>
              <w:tab/>
              <w:t>2</w:t>
            </w:r>
          </w:hyperlink>
        </w:p>
        <w:p>
          <w:pPr>
            <w:pStyle w:val="Spistreci2"/>
            <w:tabs>
              <w:tab w:val="clear" w:pos="284"/>
              <w:tab w:val="clear" w:pos="709"/>
              <w:tab w:val="clear" w:pos="9062"/>
              <w:tab w:val="right" w:pos="9072" w:leader="dot"/>
            </w:tabs>
            <w:spacing w:lineRule="auto" w:line="360"/>
            <w:rPr/>
          </w:pPr>
          <w:hyperlink w:anchor="__RefHeading___Toc6602_1471982776">
            <w:r>
              <w:rPr>
                <w:rStyle w:val="Czeindeksu"/>
                <w:rFonts w:ascii="ISOCPEUR" w:hAnsi="ISOCPEUR"/>
              </w:rPr>
              <w:t>1.3 Podstawa opracowania</w:t>
              <w:tab/>
              <w:t>2</w:t>
            </w:r>
          </w:hyperlink>
        </w:p>
        <w:p>
          <w:pPr>
            <w:pStyle w:val="Spistreci3"/>
            <w:tabs>
              <w:tab w:val="clear" w:pos="1929"/>
              <w:tab w:val="clear" w:pos="9062"/>
              <w:tab w:val="right" w:pos="9072" w:leader="dot"/>
            </w:tabs>
            <w:spacing w:lineRule="auto" w:line="360"/>
            <w:rPr/>
          </w:pPr>
          <w:hyperlink w:anchor="__RefHeading___Toc6604_1471982776">
            <w:r>
              <w:rPr>
                <w:rStyle w:val="Czeindeksu"/>
                <w:rFonts w:ascii="ISOCPEUR" w:hAnsi="ISOCPEUR"/>
              </w:rPr>
              <w:t>1.3.1 Materiały podstawowe</w:t>
              <w:tab/>
              <w:t>2</w:t>
            </w:r>
          </w:hyperlink>
        </w:p>
        <w:p>
          <w:pPr>
            <w:pStyle w:val="Spistreci3"/>
            <w:tabs>
              <w:tab w:val="clear" w:pos="1929"/>
              <w:tab w:val="clear" w:pos="9062"/>
              <w:tab w:val="right" w:pos="9072" w:leader="dot"/>
            </w:tabs>
            <w:spacing w:lineRule="auto" w:line="360"/>
            <w:rPr/>
          </w:pPr>
          <w:hyperlink w:anchor="__RefHeading___Toc6606_1471982776">
            <w:r>
              <w:rPr>
                <w:rStyle w:val="Czeindeksu"/>
                <w:rFonts w:ascii="ISOCPEUR" w:hAnsi="ISOCPEUR"/>
              </w:rPr>
              <w:t>1.3.2 Akty prawne</w:t>
              <w:tab/>
              <w:t>2</w:t>
            </w:r>
          </w:hyperlink>
        </w:p>
        <w:p>
          <w:pPr>
            <w:pStyle w:val="Spistreci1"/>
            <w:tabs>
              <w:tab w:val="clear" w:pos="142"/>
              <w:tab w:val="clear" w:pos="426"/>
              <w:tab w:val="clear" w:pos="9062"/>
              <w:tab w:val="right" w:pos="9072" w:leader="dot"/>
            </w:tabs>
            <w:spacing w:lineRule="auto" w:line="360"/>
            <w:rPr/>
          </w:pPr>
          <w:hyperlink w:anchor="__RefHeading___Toc6608_1471982776">
            <w:r>
              <w:rPr>
                <w:rStyle w:val="Czeindeksu"/>
                <w:rFonts w:ascii="ISOCPEUR" w:hAnsi="ISOCPEUR"/>
              </w:rPr>
              <w:t>2 OPIS STANU ISTNIEJĄCEGO</w:t>
              <w:tab/>
              <w:t>3</w:t>
            </w:r>
          </w:hyperlink>
        </w:p>
        <w:p>
          <w:pPr>
            <w:pStyle w:val="Spistreci2"/>
            <w:tabs>
              <w:tab w:val="clear" w:pos="284"/>
              <w:tab w:val="clear" w:pos="709"/>
              <w:tab w:val="clear" w:pos="9062"/>
              <w:tab w:val="right" w:pos="9072" w:leader="dot"/>
            </w:tabs>
            <w:spacing w:lineRule="auto" w:line="360"/>
            <w:rPr/>
          </w:pPr>
          <w:hyperlink w:anchor="__RefHeading___Toc6614_1471982776">
            <w:r>
              <w:rPr>
                <w:rStyle w:val="Czeindeksu"/>
                <w:rFonts w:ascii="ISOCPEUR" w:hAnsi="ISOCPEUR"/>
              </w:rPr>
              <w:t>2.1 Istniejące zagospodarowanie terenu</w:t>
              <w:tab/>
              <w:t>3</w:t>
            </w:r>
          </w:hyperlink>
        </w:p>
        <w:p>
          <w:pPr>
            <w:pStyle w:val="Spistreci1"/>
            <w:tabs>
              <w:tab w:val="clear" w:pos="142"/>
              <w:tab w:val="clear" w:pos="426"/>
              <w:tab w:val="clear" w:pos="9062"/>
              <w:tab w:val="right" w:pos="9072" w:leader="dot"/>
            </w:tabs>
            <w:spacing w:lineRule="auto" w:line="360"/>
            <w:rPr/>
          </w:pPr>
          <w:hyperlink w:anchor="__RefHeading___Toc6616_1471982776">
            <w:r>
              <w:rPr>
                <w:rStyle w:val="Czeindeksu"/>
                <w:rFonts w:ascii="ISOCPEUR" w:hAnsi="ISOCPEUR"/>
              </w:rPr>
              <w:t>3 OPIS STANU PROJEKTOWANEGO</w:t>
              <w:tab/>
              <w:t>3</w:t>
            </w:r>
          </w:hyperlink>
        </w:p>
        <w:p>
          <w:pPr>
            <w:pStyle w:val="Spistreci2"/>
            <w:tabs>
              <w:tab w:val="clear" w:pos="284"/>
              <w:tab w:val="clear" w:pos="709"/>
              <w:tab w:val="clear" w:pos="9062"/>
              <w:tab w:val="right" w:pos="9072" w:leader="dot"/>
            </w:tabs>
            <w:spacing w:lineRule="auto" w:line="360"/>
            <w:rPr/>
          </w:pPr>
          <w:hyperlink w:anchor="__RefHeading___Toc6618_1471982776">
            <w:r>
              <w:rPr>
                <w:rStyle w:val="Czeindeksu"/>
                <w:rFonts w:ascii="ISOCPEUR" w:hAnsi="ISOCPEUR"/>
              </w:rPr>
              <w:t>3.1 ROBOTY ROZBIÓRKOWE I PRACE DEMONTAŻOWE</w:t>
              <w:tab/>
              <w:t>3</w:t>
            </w:r>
          </w:hyperlink>
        </w:p>
        <w:p>
          <w:pPr>
            <w:pStyle w:val="Spistreci2"/>
            <w:tabs>
              <w:tab w:val="clear" w:pos="284"/>
              <w:tab w:val="clear" w:pos="709"/>
              <w:tab w:val="clear" w:pos="9062"/>
              <w:tab w:val="right" w:pos="9072" w:leader="dot"/>
            </w:tabs>
            <w:spacing w:lineRule="auto" w:line="360"/>
            <w:rPr/>
          </w:pPr>
          <w:hyperlink w:anchor="__RefHeading___Toc6620_1471982776">
            <w:r>
              <w:rPr>
                <w:rStyle w:val="Czeindeksu"/>
                <w:rFonts w:ascii="ISOCPEUR" w:hAnsi="ISOCPEUR"/>
              </w:rPr>
              <w:t>3.2 PROJEKTOWANE ZAGOSPODAROWANIE DZIAŁKI</w:t>
              <w:tab/>
              <w:t>3</w:t>
            </w:r>
          </w:hyperlink>
        </w:p>
        <w:p>
          <w:pPr>
            <w:pStyle w:val="Spistreci2"/>
            <w:tabs>
              <w:tab w:val="clear" w:pos="284"/>
              <w:tab w:val="clear" w:pos="709"/>
              <w:tab w:val="clear" w:pos="9062"/>
              <w:tab w:val="right" w:pos="9072" w:leader="dot"/>
            </w:tabs>
            <w:spacing w:lineRule="auto" w:line="360"/>
            <w:rPr/>
          </w:pPr>
          <w:hyperlink w:anchor="__RefHeading___Toc6626_1471982776">
            <w:r>
              <w:rPr>
                <w:rStyle w:val="Czeindeksu"/>
                <w:rFonts w:ascii="ISOCPEUR" w:hAnsi="ISOCPEUR"/>
              </w:rPr>
              <w:t>3.3 Rozwiązania Instalacji Sanitarnych</w:t>
              <w:tab/>
              <w:t>6</w:t>
            </w:r>
          </w:hyperlink>
        </w:p>
        <w:p>
          <w:pPr>
            <w:pStyle w:val="Spistreci3"/>
            <w:tabs>
              <w:tab w:val="clear" w:pos="1929"/>
              <w:tab w:val="clear" w:pos="9062"/>
              <w:tab w:val="right" w:pos="9072" w:leader="dot"/>
            </w:tabs>
            <w:spacing w:lineRule="auto" w:line="360"/>
            <w:rPr/>
          </w:pPr>
          <w:hyperlink w:anchor="__RefHeading___Toc6630_14719827762">
            <w:r>
              <w:rPr>
                <w:rStyle w:val="Czeindeksu"/>
                <w:rFonts w:ascii="ISOCPEUR" w:hAnsi="ISOCPEUR"/>
              </w:rPr>
              <w:t>3.3.1 INSTALACJA GRZEWCZA BUDYNKU POMPOWNI</w:t>
              <w:tab/>
              <w:t>6</w:t>
            </w:r>
          </w:hyperlink>
        </w:p>
        <w:p>
          <w:pPr>
            <w:pStyle w:val="Spistreci3"/>
            <w:tabs>
              <w:tab w:val="clear" w:pos="1929"/>
              <w:tab w:val="clear" w:pos="9062"/>
              <w:tab w:val="right" w:pos="9072" w:leader="dot"/>
            </w:tabs>
            <w:spacing w:lineRule="auto" w:line="360"/>
            <w:rPr/>
          </w:pPr>
          <w:hyperlink w:anchor="__RefHeading___Toc6630_147198277621">
            <w:r>
              <w:rPr>
                <w:rStyle w:val="Czeindeksu"/>
                <w:rFonts w:ascii="ISOCPEUR" w:hAnsi="ISOCPEUR"/>
              </w:rPr>
              <w:t xml:space="preserve">3.3.2 </w:t>
            </w:r>
            <w:r>
              <w:rPr>
                <w:rStyle w:val="Czeindeksu"/>
                <w:rFonts w:ascii="ISOCPEUR" w:hAnsi="ISOCPEUR"/>
                <w:i w:val="false"/>
              </w:rPr>
              <w:t>INSTALACJA WOD-KAN BUDYNKU SUW</w:t>
            </w:r>
            <w:r>
              <w:rPr>
                <w:rStyle w:val="Czeindeksu"/>
                <w:rFonts w:ascii="ISOCPEUR" w:hAnsi="ISOCPEUR"/>
              </w:rPr>
              <w:tab/>
              <w:t>6</w:t>
            </w:r>
          </w:hyperlink>
        </w:p>
        <w:p>
          <w:pPr>
            <w:pStyle w:val="Spistreci3"/>
            <w:tabs>
              <w:tab w:val="clear" w:pos="1929"/>
              <w:tab w:val="clear" w:pos="9062"/>
              <w:tab w:val="right" w:pos="9072" w:leader="dot"/>
            </w:tabs>
            <w:spacing w:lineRule="auto" w:line="360"/>
            <w:rPr/>
          </w:pPr>
          <w:hyperlink w:anchor="__RefHeading___Toc6630_1471982776211">
            <w:r>
              <w:rPr>
                <w:rStyle w:val="Czeindeksu"/>
                <w:rFonts w:ascii="ISOCPEUR" w:hAnsi="ISOCPEUR"/>
              </w:rPr>
              <w:t xml:space="preserve">3.3.3 </w:t>
            </w:r>
            <w:r>
              <w:rPr>
                <w:rStyle w:val="Czeindeksu"/>
                <w:rFonts w:ascii="ISOCPEUR" w:hAnsi="ISOCPEUR"/>
                <w:i w:val="false"/>
              </w:rPr>
              <w:t>INSTALACJA WENTYLACJI BUDYNKU</w:t>
            </w:r>
            <w:r>
              <w:rPr>
                <w:rStyle w:val="Czeindeksu"/>
                <w:rFonts w:ascii="ISOCPEUR" w:hAnsi="ISOCPEUR"/>
              </w:rPr>
              <w:tab/>
              <w:t>7</w:t>
            </w:r>
          </w:hyperlink>
        </w:p>
        <w:p>
          <w:pPr>
            <w:pStyle w:val="Spistreci2"/>
            <w:tabs>
              <w:tab w:val="clear" w:pos="284"/>
              <w:tab w:val="clear" w:pos="709"/>
              <w:tab w:val="clear" w:pos="9062"/>
              <w:tab w:val="right" w:pos="9072" w:leader="dot"/>
            </w:tabs>
            <w:spacing w:lineRule="auto" w:line="360"/>
            <w:rPr/>
          </w:pPr>
          <w:hyperlink w:anchor="__RefHeading___Toc6628_1471982776">
            <w:r>
              <w:rPr>
                <w:rStyle w:val="Czeindeksu"/>
                <w:rFonts w:ascii="ISOCPEUR" w:hAnsi="ISOCPEUR"/>
              </w:rPr>
              <w:t>3.4 Rozwiązania Technologiczne</w:t>
              <w:tab/>
              <w:t>7</w:t>
            </w:r>
          </w:hyperlink>
        </w:p>
        <w:p>
          <w:pPr>
            <w:pStyle w:val="Spistreci3"/>
            <w:tabs>
              <w:tab w:val="clear" w:pos="1929"/>
              <w:tab w:val="clear" w:pos="9062"/>
              <w:tab w:val="right" w:pos="9072" w:leader="dot"/>
            </w:tabs>
            <w:spacing w:lineRule="auto" w:line="360"/>
            <w:rPr/>
          </w:pPr>
          <w:hyperlink w:anchor="__RefHeading___Toc6632_1471982776">
            <w:r>
              <w:rPr>
                <w:rStyle w:val="Czeindeksu"/>
                <w:rFonts w:ascii="ISOCPEUR" w:hAnsi="ISOCPEUR"/>
              </w:rPr>
              <w:t>3.4.1 MONTAŻ UKŁADU TECHNOLOGICZNEGO</w:t>
              <w:tab/>
              <w:t>7</w:t>
            </w:r>
          </w:hyperlink>
        </w:p>
        <w:p>
          <w:pPr>
            <w:pStyle w:val="Spistreci3"/>
            <w:tabs>
              <w:tab w:val="clear" w:pos="1929"/>
              <w:tab w:val="clear" w:pos="9062"/>
              <w:tab w:val="right" w:pos="9072" w:leader="dot"/>
            </w:tabs>
            <w:spacing w:lineRule="auto" w:line="360"/>
            <w:rPr/>
          </w:pPr>
          <w:hyperlink w:anchor="__RefHeading___Toc6634_14719827761">
            <w:r>
              <w:rPr>
                <w:rStyle w:val="Czeindeksu"/>
                <w:rFonts w:ascii="ISOCPEUR" w:hAnsi="ISOCPEUR"/>
              </w:rPr>
              <w:t>3.4.2 DEZYNFEKCJA WODY UZDATNIONEJ</w:t>
              <w:tab/>
              <w:t>7</w:t>
            </w:r>
          </w:hyperlink>
        </w:p>
        <w:p>
          <w:pPr>
            <w:pStyle w:val="Spistreci3"/>
            <w:tabs>
              <w:tab w:val="clear" w:pos="1929"/>
              <w:tab w:val="clear" w:pos="9062"/>
              <w:tab w:val="right" w:pos="9072" w:leader="dot"/>
            </w:tabs>
            <w:spacing w:lineRule="auto" w:line="360"/>
            <w:rPr/>
          </w:pPr>
          <w:hyperlink w:anchor="__RefHeading___Toc6634_14719827763">
            <w:r>
              <w:rPr>
                <w:rStyle w:val="Czeindeksu"/>
                <w:rFonts w:ascii="ISOCPEUR" w:hAnsi="ISOCPEUR"/>
              </w:rPr>
              <w:t>3.4.3 MAGAZYNOWANIE WODY PITNEJ</w:t>
              <w:tab/>
              <w:t>8</w:t>
            </w:r>
          </w:hyperlink>
        </w:p>
        <w:p>
          <w:pPr>
            <w:pStyle w:val="Spistreci3"/>
            <w:tabs>
              <w:tab w:val="clear" w:pos="1929"/>
              <w:tab w:val="clear" w:pos="9062"/>
              <w:tab w:val="right" w:pos="9072" w:leader="dot"/>
            </w:tabs>
            <w:spacing w:lineRule="auto" w:line="360"/>
            <w:rPr/>
          </w:pPr>
          <w:hyperlink w:anchor="__RefHeading___Toc1453_9824798391">
            <w:r>
              <w:rPr>
                <w:rStyle w:val="Czeindeksu"/>
                <w:rFonts w:ascii="ISOCPEUR" w:hAnsi="ISOCPEUR"/>
              </w:rPr>
              <w:t>3.4.4 POMPOWANIE – ZESTAW POMPOWY II STOPNIA</w:t>
              <w:tab/>
              <w:t>9</w:t>
            </w:r>
          </w:hyperlink>
        </w:p>
        <w:p>
          <w:pPr>
            <w:pStyle w:val="Spistreci3"/>
            <w:tabs>
              <w:tab w:val="clear" w:pos="1929"/>
              <w:tab w:val="clear" w:pos="9062"/>
              <w:tab w:val="right" w:pos="9072" w:leader="dot"/>
            </w:tabs>
            <w:spacing w:lineRule="auto" w:line="360"/>
            <w:rPr/>
          </w:pPr>
          <w:hyperlink w:anchor="__RefHeading___Toc6634_1471982776">
            <w:r>
              <w:rPr>
                <w:rStyle w:val="Czeindeksu"/>
                <w:rFonts w:ascii="ISOCPEUR" w:hAnsi="ISOCPEUR"/>
              </w:rPr>
              <w:t>3.4.5 MONTAŻ OSUSZACZA POWIETRZA</w:t>
              <w:tab/>
              <w:t>10</w:t>
            </w:r>
          </w:hyperlink>
        </w:p>
        <w:p>
          <w:pPr>
            <w:pStyle w:val="Spistreci3"/>
            <w:tabs>
              <w:tab w:val="clear" w:pos="1929"/>
              <w:tab w:val="clear" w:pos="9062"/>
              <w:tab w:val="right" w:pos="9072" w:leader="dot"/>
            </w:tabs>
            <w:spacing w:lineRule="auto" w:line="360"/>
            <w:rPr/>
          </w:pPr>
          <w:hyperlink w:anchor="__RefHeading___Toc6634_147198277611">
            <w:r>
              <w:rPr>
                <w:rStyle w:val="Czeindeksu"/>
                <w:rFonts w:ascii="ISOCPEUR" w:hAnsi="ISOCPEUR"/>
              </w:rPr>
              <w:t>3.4.6 ROZDZIELNICA TECHNOLOGICZNA</w:t>
              <w:tab/>
              <w:t>10</w:t>
            </w:r>
          </w:hyperlink>
        </w:p>
        <w:p>
          <w:pPr>
            <w:pStyle w:val="Spistreci1"/>
            <w:tabs>
              <w:tab w:val="clear" w:pos="142"/>
              <w:tab w:val="clear" w:pos="426"/>
              <w:tab w:val="clear" w:pos="9062"/>
              <w:tab w:val="right" w:pos="9072" w:leader="dot"/>
            </w:tabs>
            <w:spacing w:lineRule="auto" w:line="360"/>
            <w:rPr/>
          </w:pPr>
          <w:hyperlink w:anchor="__RefHeading___Toc6654_1471982776">
            <w:r>
              <w:rPr>
                <w:rStyle w:val="Czeindeksu"/>
                <w:rFonts w:ascii="ISOCPEUR" w:hAnsi="ISOCPEUR"/>
              </w:rPr>
              <w:t>4 technologia wykonania robót</w:t>
              <w:tab/>
              <w:t>10</w:t>
            </w:r>
          </w:hyperlink>
        </w:p>
        <w:p>
          <w:pPr>
            <w:pStyle w:val="Spistreci2"/>
            <w:tabs>
              <w:tab w:val="clear" w:pos="284"/>
              <w:tab w:val="clear" w:pos="709"/>
              <w:tab w:val="clear" w:pos="9062"/>
              <w:tab w:val="right" w:pos="9072" w:leader="dot"/>
            </w:tabs>
            <w:spacing w:lineRule="auto" w:line="360"/>
            <w:rPr/>
          </w:pPr>
          <w:hyperlink w:anchor="__RefHeading___Toc6656_1471982776">
            <w:r>
              <w:rPr>
                <w:rStyle w:val="Czeindeksu"/>
                <w:rFonts w:ascii="ISOCPEUR" w:hAnsi="ISOCPEUR"/>
              </w:rPr>
              <w:t>4.1 Montaż rurociągów technologicznych i armatury</w:t>
              <w:tab/>
              <w:t>10</w:t>
            </w:r>
          </w:hyperlink>
        </w:p>
        <w:p>
          <w:pPr>
            <w:pStyle w:val="Spistreci2"/>
            <w:tabs>
              <w:tab w:val="clear" w:pos="284"/>
              <w:tab w:val="clear" w:pos="709"/>
              <w:tab w:val="clear" w:pos="9062"/>
              <w:tab w:val="right" w:pos="9072" w:leader="dot"/>
            </w:tabs>
            <w:spacing w:lineRule="auto" w:line="360"/>
            <w:rPr/>
          </w:pPr>
          <w:hyperlink w:anchor="__RefHeading___Toc6656_14719827761">
            <w:r>
              <w:rPr>
                <w:rStyle w:val="Czeindeksu"/>
                <w:rFonts w:ascii="ISOCPEUR" w:hAnsi="ISOCPEUR"/>
              </w:rPr>
              <w:t>4.2 Próby i dezynfekcja</w:t>
              <w:tab/>
              <w:t>11</w:t>
            </w:r>
          </w:hyperlink>
        </w:p>
        <w:p>
          <w:pPr>
            <w:pStyle w:val="Spistreci1"/>
            <w:tabs>
              <w:tab w:val="clear" w:pos="142"/>
              <w:tab w:val="clear" w:pos="426"/>
              <w:tab w:val="clear" w:pos="9062"/>
              <w:tab w:val="right" w:pos="9072" w:leader="dot"/>
            </w:tabs>
            <w:spacing w:lineRule="auto" w:line="360"/>
            <w:rPr/>
          </w:pPr>
          <w:hyperlink w:anchor="__RefHeading___Toc6664_1471982776">
            <w:r>
              <w:rPr>
                <w:rStyle w:val="Czeindeksu"/>
                <w:rFonts w:ascii="ISOCPEUR" w:hAnsi="ISOCPEUR"/>
              </w:rPr>
              <w:t>5 Informacja dotycząca Bezpieczeństwa i Ochrony Zdrowia</w:t>
              <w:tab/>
              <w:t>11</w:t>
            </w:r>
          </w:hyperlink>
        </w:p>
        <w:p>
          <w:pPr>
            <w:pStyle w:val="Spistreci2"/>
            <w:tabs>
              <w:tab w:val="clear" w:pos="284"/>
              <w:tab w:val="clear" w:pos="709"/>
              <w:tab w:val="clear" w:pos="9062"/>
              <w:tab w:val="right" w:pos="9072" w:leader="dot"/>
            </w:tabs>
            <w:spacing w:lineRule="auto" w:line="360"/>
            <w:rPr/>
          </w:pPr>
          <w:hyperlink w:anchor="__RefHeading___Toc6666_1471982776">
            <w:r>
              <w:rPr>
                <w:rStyle w:val="Czeindeksu"/>
                <w:rFonts w:ascii="ISOCPEUR" w:hAnsi="ISOCPEUR"/>
              </w:rPr>
              <w:t>5.1 Elementy zagospodarowania terenu mogące powodować zagrożenie podczas prowadzenia robót</w:t>
              <w:tab/>
              <w:t>11</w:t>
            </w:r>
          </w:hyperlink>
        </w:p>
        <w:p>
          <w:pPr>
            <w:pStyle w:val="Spistreci2"/>
            <w:tabs>
              <w:tab w:val="clear" w:pos="284"/>
              <w:tab w:val="clear" w:pos="709"/>
              <w:tab w:val="clear" w:pos="9062"/>
              <w:tab w:val="right" w:pos="9072" w:leader="dot"/>
            </w:tabs>
            <w:spacing w:lineRule="auto" w:line="360"/>
            <w:rPr/>
          </w:pPr>
          <w:hyperlink w:anchor="__RefHeading___Toc6668_1471982776">
            <w:r>
              <w:rPr>
                <w:rStyle w:val="Czeindeksu"/>
                <w:rFonts w:ascii="ISOCPEUR" w:hAnsi="ISOCPEUR"/>
              </w:rPr>
              <w:t>5.2 informacje dotyczące przewidzianych zagrożeń występujących podczas realizacji robót budowlanych</w:t>
              <w:tab/>
              <w:t>11</w:t>
            </w:r>
          </w:hyperlink>
        </w:p>
        <w:p>
          <w:pPr>
            <w:pStyle w:val="Spistreci2"/>
            <w:tabs>
              <w:tab w:val="clear" w:pos="284"/>
              <w:tab w:val="clear" w:pos="709"/>
              <w:tab w:val="clear" w:pos="9062"/>
              <w:tab w:val="right" w:pos="9072" w:leader="dot"/>
            </w:tabs>
            <w:spacing w:lineRule="auto" w:line="360"/>
            <w:rPr/>
          </w:pPr>
          <w:hyperlink w:anchor="__RefHeading___Toc6670_1471982776">
            <w:r>
              <w:rPr>
                <w:rStyle w:val="Czeindeksu"/>
                <w:rFonts w:ascii="ISOCPEUR" w:hAnsi="ISOCPEUR"/>
              </w:rPr>
              <w:t>5.3 Sposób prowadzenia instruktażu</w:t>
              <w:tab/>
              <w:t>11</w:t>
            </w:r>
          </w:hyperlink>
        </w:p>
        <w:p>
          <w:pPr>
            <w:pStyle w:val="Spistreci2"/>
            <w:tabs>
              <w:tab w:val="clear" w:pos="284"/>
              <w:tab w:val="clear" w:pos="709"/>
              <w:tab w:val="clear" w:pos="9062"/>
              <w:tab w:val="right" w:pos="9072" w:leader="dot"/>
            </w:tabs>
            <w:spacing w:lineRule="auto" w:line="360"/>
            <w:rPr/>
          </w:pPr>
          <w:hyperlink w:anchor="__RefHeading___Toc6672_1471982776">
            <w:r>
              <w:rPr>
                <w:rStyle w:val="Czeindeksu"/>
                <w:rFonts w:ascii="ISOCPEUR" w:hAnsi="ISOCPEUR"/>
              </w:rPr>
              <w:t>5.4 Środki techniczne i organizacyjne zapobiegające niebezpieczeństwom wynikającym z wykonania robót budowlanych</w:t>
              <w:tab/>
              <w:t>12</w:t>
            </w:r>
          </w:hyperlink>
        </w:p>
        <w:p>
          <w:pPr>
            <w:pStyle w:val="Spistreci1"/>
            <w:tabs>
              <w:tab w:val="clear" w:pos="142"/>
              <w:tab w:val="clear" w:pos="426"/>
              <w:tab w:val="clear" w:pos="9062"/>
              <w:tab w:val="right" w:pos="9072" w:leader="dot"/>
            </w:tabs>
            <w:spacing w:lineRule="auto" w:line="360"/>
            <w:rPr/>
          </w:pPr>
          <w:hyperlink w:anchor="__RefHeading___Toc6674_1471982776">
            <w:r>
              <w:rPr>
                <w:rStyle w:val="Czeindeksu"/>
                <w:rFonts w:ascii="ISOCPEUR" w:hAnsi="ISOCPEUR"/>
              </w:rPr>
              <w:t>6 UWAGI KOŃCOWE</w:t>
              <w:tab/>
              <w:t>12</w:t>
            </w:r>
          </w:hyperlink>
        </w:p>
        <w:p>
          <w:pPr>
            <w:pStyle w:val="Spistreci1"/>
            <w:tabs>
              <w:tab w:val="clear" w:pos="142"/>
              <w:tab w:val="clear" w:pos="426"/>
              <w:tab w:val="clear" w:pos="9062"/>
              <w:tab w:val="right" w:pos="9072" w:leader="dot"/>
            </w:tabs>
            <w:spacing w:lineRule="auto" w:line="360"/>
            <w:rPr/>
          </w:pPr>
          <w:hyperlink w:anchor="__RefHeading___Toc6676_1471982776">
            <w:r>
              <w:rPr>
                <w:rStyle w:val="Czeindeksu"/>
                <w:rFonts w:ascii="ISOCPEUR" w:hAnsi="ISOCPEUR"/>
              </w:rPr>
              <w:t>7 CZĘŚĆ RYSUNKOWA</w:t>
              <w:tab/>
              <w:t>13</w:t>
            </w:r>
          </w:hyperlink>
          <w:r>
            <w:rPr>
              <w:rStyle w:val="Czeindeksu"/>
              <w:rFonts w:ascii="ISOCPEUR" w:hAnsi="ISOCPEUR"/>
            </w:rPr>
            <w:fldChar w:fldCharType="end"/>
          </w:r>
        </w:p>
      </w:sdtContent>
    </w:sdt>
    <w:p>
      <w:pPr>
        <w:pStyle w:val="Normal"/>
        <w:spacing w:lineRule="auto" w:line="360"/>
        <w:rPr>
          <w:rFonts w:ascii="ISOCPEUR" w:hAnsi="ISOCPEUR"/>
          <w:sz w:val="24"/>
          <w:szCs w:val="24"/>
        </w:rPr>
      </w:pPr>
      <w:r>
        <w:rPr>
          <w:rFonts w:ascii="ISOCPEUR" w:hAnsi="ISOCPEUR"/>
          <w:sz w:val="24"/>
          <w:szCs w:val="24"/>
        </w:rPr>
      </w:r>
    </w:p>
    <w:p>
      <w:pPr>
        <w:pStyle w:val="Normal"/>
        <w:spacing w:lineRule="auto" w:line="360"/>
        <w:rPr>
          <w:rFonts w:ascii="ISOCPEUR" w:hAnsi="ISOCPEUR"/>
          <w:sz w:val="24"/>
          <w:szCs w:val="24"/>
        </w:rPr>
      </w:pPr>
      <w:r>
        <w:rPr>
          <w:rFonts w:ascii="ISOCPEUR" w:hAnsi="ISOCPEUR"/>
          <w:sz w:val="24"/>
          <w:szCs w:val="24"/>
        </w:rPr>
      </w:r>
    </w:p>
    <w:p>
      <w:pPr>
        <w:pStyle w:val="Normal"/>
        <w:spacing w:lineRule="auto" w:line="360"/>
        <w:rPr>
          <w:rFonts w:ascii="ISOCPEUR" w:hAnsi="ISOCPEUR"/>
          <w:sz w:val="24"/>
          <w:szCs w:val="24"/>
        </w:rPr>
      </w:pPr>
      <w:r>
        <w:rPr>
          <w:rFonts w:ascii="ISOCPEUR" w:hAnsi="ISOCPEUR"/>
          <w:sz w:val="24"/>
          <w:szCs w:val="24"/>
        </w:rPr>
      </w:r>
    </w:p>
    <w:p>
      <w:pPr>
        <w:pStyle w:val="Normal"/>
        <w:spacing w:lineRule="auto" w:line="360"/>
        <w:rPr>
          <w:rFonts w:ascii="ISOCPEUR" w:hAnsi="ISOCPEUR"/>
          <w:sz w:val="18"/>
          <w:szCs w:val="18"/>
        </w:rPr>
      </w:pPr>
      <w:r>
        <w:rPr>
          <w:rFonts w:ascii="ISOCPEUR" w:hAnsi="ISOCPEUR"/>
          <w:sz w:val="18"/>
          <w:szCs w:val="18"/>
        </w:rPr>
      </w:r>
    </w:p>
    <w:p>
      <w:pPr>
        <w:pStyle w:val="Normal"/>
        <w:spacing w:lineRule="auto" w:line="360"/>
        <w:rPr>
          <w:rFonts w:ascii="ISOCPEUR" w:hAnsi="ISOCPEUR"/>
        </w:rPr>
      </w:pPr>
      <w:r>
        <w:rPr>
          <w:rFonts w:ascii="ISOCPEUR" w:hAnsi="ISOCPEUR"/>
        </w:rPr>
      </w:r>
    </w:p>
    <w:p>
      <w:pPr>
        <w:pStyle w:val="Normal"/>
        <w:spacing w:lineRule="auto" w:line="360"/>
        <w:rPr>
          <w:rFonts w:ascii="ISOCPEUR" w:hAnsi="ISOCPEUR"/>
        </w:rPr>
      </w:pPr>
      <w:r>
        <w:rPr>
          <w:rFonts w:ascii="ISOCPEUR" w:hAnsi="ISOCPEUR"/>
        </w:rPr>
      </w:r>
    </w:p>
    <w:p>
      <w:pPr>
        <w:pStyle w:val="Normal"/>
        <w:spacing w:lineRule="auto" w:line="360"/>
        <w:rPr>
          <w:rFonts w:ascii="ISOCPEUR" w:hAnsi="ISOCPEUR"/>
        </w:rPr>
      </w:pPr>
      <w:r>
        <w:rPr>
          <w:rFonts w:ascii="ISOCPEUR" w:hAnsi="ISOCPEUR"/>
        </w:rPr>
      </w:r>
    </w:p>
    <w:p>
      <w:pPr>
        <w:pStyle w:val="Normal"/>
        <w:spacing w:lineRule="auto" w:line="360"/>
        <w:rPr>
          <w:rFonts w:ascii="ISOCPEUR" w:hAnsi="ISOCPEUR"/>
        </w:rPr>
      </w:pPr>
      <w:r>
        <w:rPr>
          <w:rFonts w:ascii="ISOCPEUR" w:hAnsi="ISOCPEUR"/>
        </w:rPr>
      </w:r>
    </w:p>
    <w:p>
      <w:pPr>
        <w:pStyle w:val="Normal"/>
        <w:spacing w:lineRule="auto" w:line="360"/>
        <w:rPr>
          <w:rFonts w:ascii="ISOCPEUR" w:hAnsi="ISOCPEUR"/>
        </w:rPr>
      </w:pPr>
      <w:r>
        <w:rPr>
          <w:rFonts w:ascii="ISOCPEUR" w:hAnsi="ISOCPEUR"/>
        </w:rPr>
      </w:r>
    </w:p>
    <w:p>
      <w:pPr>
        <w:pStyle w:val="Normal"/>
        <w:spacing w:lineRule="auto" w:line="360"/>
        <w:rPr>
          <w:rFonts w:ascii="ISOCPEUR" w:hAnsi="ISOCPEUR"/>
        </w:rPr>
      </w:pPr>
      <w:r>
        <w:rPr>
          <w:rFonts w:ascii="ISOCPEUR" w:hAnsi="ISOCPEUR"/>
        </w:rPr>
      </w:r>
    </w:p>
    <w:p>
      <w:pPr>
        <w:pStyle w:val="Normal"/>
        <w:spacing w:lineRule="auto" w:line="360"/>
        <w:rPr>
          <w:rFonts w:ascii="ISOCPEUR" w:hAnsi="ISOCPEUR"/>
        </w:rPr>
      </w:pPr>
      <w:r>
        <w:rPr>
          <w:rFonts w:ascii="ISOCPEUR" w:hAnsi="ISOCPEUR"/>
        </w:rPr>
      </w:r>
    </w:p>
    <w:p>
      <w:pPr>
        <w:pStyle w:val="Nagwek1"/>
        <w:shd w:val="clear" w:fill="auto"/>
        <w:spacing w:lineRule="auto" w:line="360"/>
        <w:rPr>
          <w:rFonts w:ascii="ISOCPEUR" w:hAnsi="ISOCPEUR"/>
        </w:rPr>
      </w:pPr>
      <w:bookmarkStart w:id="0" w:name="__RefHeading___Toc6596_1471982776"/>
      <w:bookmarkStart w:id="1" w:name="_Toc185095263"/>
      <w:bookmarkStart w:id="2" w:name="_Toc90976236"/>
      <w:bookmarkEnd w:id="0"/>
      <w:r>
        <w:rPr>
          <w:rFonts w:ascii="ISOCPEUR" w:hAnsi="ISOCPEUR"/>
        </w:rPr>
        <w:t>PRZEDMIOT I PODSTAWA OPRACOWANIA</w:t>
      </w:r>
      <w:bookmarkEnd w:id="1"/>
      <w:bookmarkEnd w:id="2"/>
    </w:p>
    <w:p>
      <w:pPr>
        <w:pStyle w:val="Normal"/>
        <w:spacing w:lineRule="auto" w:line="360" w:before="0" w:after="120"/>
        <w:ind w:left="2126" w:right="0" w:hanging="2126"/>
        <w:rPr>
          <w:rFonts w:ascii="ISOCPEUR" w:hAnsi="ISOCPEUR"/>
        </w:rPr>
      </w:pPr>
      <w:r>
        <w:rPr>
          <w:rFonts w:ascii="ISOCPEUR" w:hAnsi="ISOCPEUR"/>
          <w:b/>
          <w:bCs/>
        </w:rPr>
        <w:t>INWESTYCJA:</w:t>
        <w:tab/>
      </w:r>
      <w:r>
        <w:rPr>
          <w:rFonts w:eastAsia="Segoe UI" w:cs="Tahoma" w:ascii="ISOCPEUR" w:hAnsi="ISOCPEUR"/>
          <w:b w:val="false"/>
          <w:bCs w:val="false"/>
          <w:color w:val="auto"/>
          <w:kern w:val="0"/>
          <w:sz w:val="22"/>
          <w:szCs w:val="22"/>
          <w:lang w:val="pl-PL" w:eastAsia="en-US" w:bidi="ar-SA"/>
        </w:rPr>
        <w:t>BUDOWA ZBIORNIKA ZAPASU WODY WRAZ Z BUDYNKIEM TECHNICZNYM DO OBSŁUGI SIECI WODOCIĄGOWEJ</w:t>
      </w:r>
      <w:r>
        <w:rPr>
          <w:rFonts w:ascii="ISOCPEUR" w:hAnsi="ISOCPEUR"/>
          <w:b w:val="false"/>
          <w:bCs w:val="false"/>
        </w:rPr>
        <w:t xml:space="preserve"> </w:t>
      </w:r>
      <w:r>
        <w:rPr>
          <w:rFonts w:ascii="ISOCPEUR" w:hAnsi="ISOCPEUR"/>
          <w:b w:val="false"/>
          <w:bCs w:val="false"/>
        </w:rPr>
        <w:t>ORAZ</w:t>
      </w:r>
      <w:r>
        <w:rPr>
          <w:rFonts w:ascii="ISOCPEUR" w:hAnsi="ISOCPEUR"/>
          <w:b w:val="false"/>
          <w:bCs w:val="false"/>
        </w:rPr>
        <w:t xml:space="preserve"> NIEZBĘDNĄ INFRASTRUKTURĄ </w:t>
      </w:r>
      <w:r>
        <w:rPr>
          <w:rFonts w:ascii="ISOCPEUR" w:hAnsi="ISOCPEUR"/>
          <w:b w:val="false"/>
          <w:bCs w:val="false"/>
        </w:rPr>
        <w:t>TECHNICZNĄ</w:t>
      </w:r>
      <w:r>
        <w:rPr>
          <w:rFonts w:ascii="ISOCPEUR" w:hAnsi="ISOCPEUR"/>
          <w:b w:val="false"/>
          <w:bCs w:val="false"/>
        </w:rPr>
        <w:t xml:space="preserve"> </w:t>
      </w:r>
    </w:p>
    <w:p>
      <w:pPr>
        <w:pStyle w:val="Normal"/>
        <w:spacing w:lineRule="auto" w:line="360" w:before="0" w:after="0"/>
        <w:rPr>
          <w:rFonts w:ascii="ISOCPEUR" w:hAnsi="ISOCPEUR"/>
        </w:rPr>
      </w:pPr>
      <w:r>
        <w:rPr>
          <w:rFonts w:ascii="ISOCPEUR" w:hAnsi="ISOCPEUR"/>
          <w:b/>
          <w:bCs/>
        </w:rPr>
        <w:t>ADRES:</w:t>
      </w:r>
      <w:r>
        <w:rPr>
          <w:rFonts w:ascii="ISOCPEUR" w:hAnsi="ISOCPEUR"/>
        </w:rPr>
        <w:tab/>
        <w:tab/>
        <w:tab/>
      </w:r>
      <w:r>
        <w:rPr>
          <w:rFonts w:eastAsia="Segoe UI" w:cs="Tahoma" w:ascii="ISOCPEUR" w:hAnsi="ISOCPEUR"/>
          <w:color w:val="auto"/>
          <w:kern w:val="0"/>
          <w:sz w:val="22"/>
          <w:szCs w:val="22"/>
          <w:lang w:val="pl-PL" w:eastAsia="en-US" w:bidi="ar-SA"/>
        </w:rPr>
        <w:t>KRĘPIEC</w:t>
      </w:r>
      <w:bookmarkStart w:id="3" w:name="_Hlk133496658"/>
      <w:r>
        <w:rPr>
          <w:rFonts w:ascii="ISOCPEUR" w:hAnsi="ISOCPEUR"/>
        </w:rPr>
        <w:t xml:space="preserve">, DZ. EWID. NR </w:t>
      </w:r>
      <w:r>
        <w:rPr>
          <w:rFonts w:eastAsia="Segoe UI" w:cs="Tahoma" w:ascii="ISOCPEUR" w:hAnsi="ISOCPEUR"/>
          <w:color w:val="auto"/>
          <w:kern w:val="0"/>
          <w:sz w:val="22"/>
          <w:szCs w:val="22"/>
          <w:lang w:val="pl-PL" w:eastAsia="en-US" w:bidi="ar-SA"/>
        </w:rPr>
        <w:t>129/2</w:t>
      </w:r>
    </w:p>
    <w:p>
      <w:pPr>
        <w:pStyle w:val="Normal"/>
        <w:spacing w:lineRule="auto" w:line="360" w:before="0" w:after="0"/>
        <w:ind w:left="1416" w:right="0" w:firstLine="708"/>
        <w:rPr>
          <w:rFonts w:ascii="ISOCPEUR" w:hAnsi="ISOCPEUR"/>
        </w:rPr>
      </w:pPr>
      <w:r>
        <w:rPr>
          <w:rFonts w:ascii="ISOCPEUR" w:hAnsi="ISOCPEUR"/>
        </w:rPr>
        <w:t>21-007 MEŁGIEW</w:t>
      </w:r>
    </w:p>
    <w:p>
      <w:pPr>
        <w:pStyle w:val="Normal"/>
        <w:spacing w:lineRule="auto" w:line="360" w:before="0" w:after="0"/>
        <w:rPr>
          <w:rFonts w:ascii="ISOCPEUR" w:hAnsi="ISOCPEUR"/>
        </w:rPr>
      </w:pPr>
      <w:r>
        <w:rPr>
          <w:rFonts w:ascii="ISOCPEUR" w:hAnsi="ISOCPEUR"/>
          <w:b/>
          <w:bCs/>
        </w:rPr>
        <w:t xml:space="preserve">INWESTOR: </w:t>
      </w:r>
      <w:bookmarkEnd w:id="3"/>
      <w:r>
        <w:rPr>
          <w:rFonts w:ascii="ISOCPEUR" w:hAnsi="ISOCPEUR"/>
          <w:b/>
          <w:bCs/>
        </w:rPr>
        <w:tab/>
      </w:r>
      <w:bookmarkStart w:id="4" w:name="_Hlk133496692"/>
      <w:r>
        <w:rPr>
          <w:rFonts w:ascii="ISOCPEUR" w:hAnsi="ISOCPEUR"/>
          <w:b/>
          <w:bCs/>
        </w:rPr>
        <w:tab/>
      </w:r>
      <w:bookmarkEnd w:id="4"/>
      <w:r>
        <w:rPr>
          <w:rFonts w:ascii="ISOCPEUR" w:hAnsi="ISOCPEUR"/>
        </w:rPr>
        <w:t>GMINA MEŁGIEW</w:t>
      </w:r>
    </w:p>
    <w:p>
      <w:pPr>
        <w:pStyle w:val="Normal"/>
        <w:spacing w:lineRule="auto" w:line="360" w:before="0" w:after="0"/>
        <w:rPr>
          <w:rFonts w:ascii="ISOCPEUR" w:hAnsi="ISOCPEUR"/>
        </w:rPr>
      </w:pPr>
      <w:r>
        <w:rPr>
          <w:rFonts w:ascii="ISOCPEUR" w:hAnsi="ISOCPEUR"/>
        </w:rPr>
        <w:tab/>
        <w:tab/>
        <w:tab/>
        <w:t>UL. PARTYZANCKA 2, 21-007 MEŁGIEW</w:t>
        <w:tab/>
      </w:r>
    </w:p>
    <w:p>
      <w:pPr>
        <w:pStyle w:val="Normal"/>
        <w:spacing w:lineRule="auto" w:line="360" w:before="0" w:after="0"/>
        <w:rPr>
          <w:rFonts w:ascii="ISOCPEUR" w:hAnsi="ISOCPEUR"/>
        </w:rPr>
      </w:pPr>
      <w:r>
        <w:rPr>
          <w:rFonts w:ascii="ISOCPEUR" w:hAnsi="ISOCPEUR"/>
          <w:b/>
          <w:bCs/>
        </w:rPr>
        <w:t xml:space="preserve">KAT. OBIEKTU:          </w:t>
      </w:r>
      <w:r>
        <w:rPr>
          <w:rFonts w:ascii="ISOCPEUR" w:hAnsi="ISOCPEUR"/>
        </w:rPr>
        <w:t>XXX</w:t>
      </w:r>
    </w:p>
    <w:p>
      <w:pPr>
        <w:pStyle w:val="Normal"/>
        <w:spacing w:lineRule="auto" w:line="360" w:before="120" w:after="0"/>
        <w:ind w:left="2124" w:right="288" w:hanging="2124"/>
        <w:jc w:val="left"/>
        <w:rPr>
          <w:rFonts w:ascii="ISOCPEUR" w:hAnsi="ISOCPEUR"/>
        </w:rPr>
      </w:pPr>
      <w:r>
        <w:rPr>
          <w:rFonts w:ascii="ISOCPEUR" w:hAnsi="ISOCPEUR"/>
          <w:b/>
          <w:bCs/>
        </w:rPr>
        <w:t>RODZAJ OBIEKTU :</w:t>
      </w:r>
      <w:r>
        <w:rPr>
          <w:rFonts w:ascii="ISOCPEUR" w:hAnsi="ISOCPEUR"/>
        </w:rPr>
        <w:t xml:space="preserve">      STACJE UZDATNIANIA WODY</w:t>
      </w:r>
    </w:p>
    <w:p>
      <w:pPr>
        <w:pStyle w:val="Nagwek2"/>
        <w:pBdr>
          <w:bottom w:val="single" w:sz="4" w:space="0" w:color="000000"/>
        </w:pBdr>
        <w:spacing w:lineRule="auto" w:line="360" w:before="240" w:after="240"/>
        <w:ind w:left="578" w:right="0" w:hanging="578"/>
        <w:rPr>
          <w:rFonts w:ascii="ISOCPEUR" w:hAnsi="ISOCPEUR"/>
        </w:rPr>
      </w:pPr>
      <w:bookmarkStart w:id="5" w:name="__RefHeading___Toc6598_1471982776"/>
      <w:bookmarkStart w:id="6" w:name="_Toc185095264"/>
      <w:bookmarkStart w:id="7" w:name="_Toc90976237"/>
      <w:bookmarkStart w:id="8" w:name="_Toc79231787"/>
      <w:bookmarkEnd w:id="5"/>
      <w:r>
        <w:rPr>
          <w:rFonts w:ascii="ISOCPEUR" w:hAnsi="ISOCPEUR"/>
        </w:rPr>
        <w:t xml:space="preserve">Przedmiot </w:t>
      </w:r>
      <w:bookmarkEnd w:id="7"/>
      <w:bookmarkEnd w:id="8"/>
      <w:r>
        <w:rPr>
          <w:rFonts w:ascii="ISOCPEUR" w:hAnsi="ISOCPEUR"/>
        </w:rPr>
        <w:t>i cel opracowania</w:t>
      </w:r>
      <w:bookmarkEnd w:id="6"/>
      <w:r>
        <w:rPr>
          <w:rFonts w:ascii="ISOCPEUR" w:hAnsi="ISOCPEUR"/>
        </w:rPr>
        <w:t xml:space="preserve"> </w:t>
      </w:r>
    </w:p>
    <w:p>
      <w:pPr>
        <w:pStyle w:val="Normal"/>
        <w:spacing w:lineRule="auto" w:line="360" w:before="0" w:after="0"/>
        <w:rPr>
          <w:rFonts w:ascii="ISOCPEUR" w:hAnsi="ISOCPEUR"/>
        </w:rPr>
      </w:pPr>
      <w:bookmarkStart w:id="9" w:name="_Hlk104799589"/>
      <w:bookmarkStart w:id="10" w:name="_Toc90976238"/>
      <w:bookmarkStart w:id="11" w:name="_Toc79231788"/>
      <w:bookmarkEnd w:id="9"/>
      <w:bookmarkEnd w:id="10"/>
      <w:bookmarkEnd w:id="11"/>
      <w:r>
        <w:rPr>
          <w:rFonts w:ascii="ISOCPEUR" w:hAnsi="ISOCPEUR"/>
        </w:rPr>
        <w:t xml:space="preserve">Przedmiotem opracowania jest wykonanie układu technologicznego urządzeń i instalacji elektrycznej wewnątrz budynku wraz z montażem agregatu prądotwórczego na zewnątrz obiektu </w:t>
      </w:r>
      <w:r>
        <w:rPr>
          <w:rFonts w:ascii="ISOCPEUR" w:hAnsi="ISOCPEUR"/>
        </w:rPr>
        <w:t>w celu poprawienia gospodarki dotyczącej zapewnienia i zaopatrzenia w wodę do celów socjalno-bytowych oraz przeciwpożarowych terenu gminy Mełgiew i okolicznych miejscowości tj. Krępiec, Nowy Krępiec.</w:t>
      </w:r>
    </w:p>
    <w:p>
      <w:pPr>
        <w:pStyle w:val="Normal"/>
        <w:spacing w:lineRule="auto" w:line="360" w:before="0" w:after="0"/>
        <w:rPr>
          <w:rFonts w:ascii="ISOCPEUR" w:hAnsi="ISOCPEUR"/>
        </w:rPr>
      </w:pPr>
      <w:r>
        <w:rPr>
          <w:rFonts w:ascii="ISOCPEUR" w:hAnsi="ISOCPEUR"/>
        </w:rPr>
        <w:t>Zakresem opracowania objęto budowę sieciowej pompowni wodociągowej o wydajności 60m3/h, a także</w:t>
      </w:r>
      <w:r>
        <w:rPr>
          <w:rFonts w:ascii="ISOCPEUR" w:hAnsi="ISOCPEUR"/>
        </w:rPr>
        <w:t xml:space="preserve"> budowę zbiornika zapasu wody pitnej o pojemności </w:t>
      </w:r>
      <w:r>
        <w:rPr>
          <w:rFonts w:eastAsia="Segoe UI" w:cs="Tahoma" w:ascii="ISOCPEUR" w:hAnsi="ISOCPEUR"/>
          <w:color w:val="auto"/>
          <w:kern w:val="0"/>
          <w:sz w:val="22"/>
          <w:szCs w:val="22"/>
          <w:lang w:val="pl-PL" w:eastAsia="en-US" w:bidi="ar-SA"/>
        </w:rPr>
        <w:t>245</w:t>
      </w:r>
      <w:r>
        <w:rPr>
          <w:rFonts w:ascii="ISOCPEUR" w:hAnsi="ISOCPEUR"/>
        </w:rPr>
        <w:t>m3, wraz z niezbędnymi elementami zagospodarowania terenu.</w:t>
      </w:r>
    </w:p>
    <w:p>
      <w:pPr>
        <w:pStyle w:val="Normal"/>
        <w:spacing w:lineRule="auto" w:line="360" w:before="0" w:after="0"/>
        <w:rPr>
          <w:rFonts w:ascii="ISOCPEUR" w:hAnsi="ISOCPEUR"/>
        </w:rPr>
      </w:pPr>
      <w:r>
        <w:rPr>
          <w:rFonts w:ascii="ISOCPEUR" w:hAnsi="ISOCPEUR"/>
        </w:rPr>
      </w:r>
    </w:p>
    <w:p>
      <w:pPr>
        <w:pStyle w:val="Nagwek2"/>
        <w:spacing w:lineRule="auto" w:line="360" w:before="120" w:after="240"/>
        <w:ind w:left="578" w:right="0" w:hanging="578"/>
        <w:rPr>
          <w:rFonts w:ascii="ISOCPEUR" w:hAnsi="ISOCPEUR"/>
        </w:rPr>
      </w:pPr>
      <w:bookmarkStart w:id="12" w:name="__RefHeading___Toc6600_1471982776"/>
      <w:bookmarkStart w:id="13" w:name="_Toc185095265"/>
      <w:bookmarkEnd w:id="12"/>
      <w:r>
        <w:rPr>
          <w:rFonts w:ascii="ISOCPEUR" w:hAnsi="ISOCPEUR"/>
        </w:rPr>
        <w:t>Uwagi wstępne</w:t>
      </w:r>
      <w:bookmarkEnd w:id="13"/>
    </w:p>
    <w:p>
      <w:pPr>
        <w:pStyle w:val="Normal"/>
        <w:spacing w:lineRule="auto" w:line="360"/>
        <w:rPr>
          <w:rFonts w:ascii="ISOCPEUR" w:hAnsi="ISOCPEUR"/>
        </w:rPr>
      </w:pPr>
      <w:r>
        <w:rPr>
          <w:rFonts w:ascii="ISOCPEUR" w:hAnsi="ISOCPEUR"/>
        </w:rPr>
        <w:t>Zgodnie z art. 28 ustawy z dnia 7 lipca 1994 r. – Prawo budowlane, roboty budowlane można rozpocząć jedynie na podstawie decyzji o pozwoleniu na budowę. Wyjątki od powyższej zasady stanowią art. 29-31 ustawy. Przepisy te zawierają konkretny zamknięty katalog budów i robót budowlanych, których wykonanie nie musi być poprzedzane uzyskaniem pozwolenia na budowę. Część z nich wymaga zgłoszenia właściwemu organowi, pozostałe zwolnione są z obu tych obowiązków.</w:t>
      </w:r>
    </w:p>
    <w:p>
      <w:pPr>
        <w:pStyle w:val="Normal"/>
        <w:spacing w:lineRule="auto" w:line="360"/>
        <w:rPr>
          <w:rFonts w:ascii="ISOCPEUR" w:hAnsi="ISOCPEUR"/>
        </w:rPr>
      </w:pPr>
      <w:r>
        <w:rPr>
          <w:rFonts w:ascii="ISOCPEUR" w:hAnsi="ISOCPEUR"/>
        </w:rPr>
      </w:r>
    </w:p>
    <w:p>
      <w:pPr>
        <w:pStyle w:val="Nagwek2"/>
        <w:spacing w:lineRule="auto" w:line="360" w:before="120" w:after="120"/>
        <w:ind w:left="578" w:right="0" w:hanging="578"/>
        <w:rPr>
          <w:rFonts w:ascii="ISOCPEUR" w:hAnsi="ISOCPEUR"/>
        </w:rPr>
      </w:pPr>
      <w:bookmarkStart w:id="14" w:name="__RefHeading___Toc6602_1471982776"/>
      <w:bookmarkStart w:id="15" w:name="_Toc185095266"/>
      <w:bookmarkStart w:id="16" w:name="_Hlk1047995891"/>
      <w:bookmarkEnd w:id="14"/>
      <w:bookmarkEnd w:id="16"/>
      <w:r>
        <w:rPr>
          <w:rFonts w:ascii="ISOCPEUR" w:hAnsi="ISOCPEUR"/>
        </w:rPr>
        <w:t>Podstawa opracowania</w:t>
      </w:r>
      <w:bookmarkEnd w:id="15"/>
    </w:p>
    <w:p>
      <w:pPr>
        <w:pStyle w:val="Nagwek3"/>
        <w:spacing w:lineRule="auto" w:line="360"/>
        <w:rPr>
          <w:rFonts w:ascii="ISOCPEUR" w:hAnsi="ISOCPEUR"/>
        </w:rPr>
      </w:pPr>
      <w:bookmarkStart w:id="17" w:name="__RefHeading___Toc6604_1471982776"/>
      <w:bookmarkStart w:id="18" w:name="_Toc185095267"/>
      <w:bookmarkEnd w:id="17"/>
      <w:r>
        <w:rPr>
          <w:rFonts w:ascii="ISOCPEUR" w:hAnsi="ISOCPEUR"/>
        </w:rPr>
        <w:t>Materiały podstawowe</w:t>
      </w:r>
      <w:bookmarkEnd w:id="18"/>
    </w:p>
    <w:p>
      <w:pPr>
        <w:pStyle w:val="Tytu"/>
        <w:numPr>
          <w:ilvl w:val="0"/>
          <w:numId w:val="2"/>
        </w:numPr>
        <w:tabs>
          <w:tab w:val="clear" w:pos="708"/>
          <w:tab w:val="left" w:pos="567" w:leader="none"/>
        </w:tabs>
        <w:spacing w:lineRule="auto" w:line="360"/>
        <w:ind w:left="567" w:right="0" w:hanging="283"/>
        <w:rPr>
          <w:rFonts w:ascii="ISOCPEUR" w:hAnsi="ISOCPEUR"/>
        </w:rPr>
      </w:pPr>
      <w:r>
        <w:rPr>
          <w:rFonts w:ascii="ISOCPEUR" w:hAnsi="ISOCPEUR"/>
        </w:rPr>
        <w:t>Zlecenie Inwestora</w:t>
      </w:r>
    </w:p>
    <w:p>
      <w:pPr>
        <w:pStyle w:val="Tytu"/>
        <w:numPr>
          <w:ilvl w:val="0"/>
          <w:numId w:val="2"/>
        </w:numPr>
        <w:tabs>
          <w:tab w:val="clear" w:pos="708"/>
          <w:tab w:val="left" w:pos="567" w:leader="none"/>
        </w:tabs>
        <w:spacing w:lineRule="auto" w:line="360"/>
        <w:ind w:left="567" w:right="0" w:hanging="283"/>
        <w:rPr>
          <w:rFonts w:ascii="ISOCPEUR" w:hAnsi="ISOCPEUR"/>
        </w:rPr>
      </w:pPr>
      <w:r>
        <w:rPr>
          <w:rFonts w:ascii="ISOCPEUR" w:hAnsi="ISOCPEUR"/>
        </w:rPr>
        <w:t xml:space="preserve">Inwentaryzacja </w:t>
      </w:r>
    </w:p>
    <w:p>
      <w:pPr>
        <w:pStyle w:val="Tytu"/>
        <w:numPr>
          <w:ilvl w:val="0"/>
          <w:numId w:val="2"/>
        </w:numPr>
        <w:tabs>
          <w:tab w:val="clear" w:pos="708"/>
          <w:tab w:val="left" w:pos="567" w:leader="none"/>
        </w:tabs>
        <w:spacing w:lineRule="auto" w:line="360"/>
        <w:ind w:left="567" w:right="0" w:hanging="283"/>
        <w:rPr>
          <w:rFonts w:ascii="ISOCPEUR" w:hAnsi="ISOCPEUR"/>
        </w:rPr>
      </w:pPr>
      <w:r>
        <w:rPr>
          <w:rFonts w:ascii="ISOCPEUR" w:hAnsi="ISOCPEUR"/>
        </w:rPr>
        <w:t>Ustalenia i konsultacje z Inwestorem i Użytkownikami</w:t>
      </w:r>
    </w:p>
    <w:p>
      <w:pPr>
        <w:pStyle w:val="Tytu"/>
        <w:numPr>
          <w:ilvl w:val="0"/>
          <w:numId w:val="2"/>
        </w:numPr>
        <w:tabs>
          <w:tab w:val="clear" w:pos="708"/>
          <w:tab w:val="left" w:pos="567" w:leader="none"/>
        </w:tabs>
        <w:spacing w:lineRule="auto" w:line="360"/>
        <w:ind w:left="567" w:right="0" w:hanging="283"/>
        <w:rPr>
          <w:rFonts w:ascii="ISOCPEUR" w:hAnsi="ISOCPEUR"/>
        </w:rPr>
      </w:pPr>
      <w:r>
        <w:rPr>
          <w:rFonts w:ascii="ISOCPEUR" w:hAnsi="ISOCPEUR"/>
        </w:rPr>
        <w:t xml:space="preserve">Wizja lokalna </w:t>
      </w:r>
    </w:p>
    <w:p>
      <w:pPr>
        <w:pStyle w:val="Nagwek3"/>
        <w:tabs>
          <w:tab w:val="clear" w:pos="708"/>
          <w:tab w:val="left" w:pos="1418" w:leader="none"/>
        </w:tabs>
        <w:spacing w:lineRule="auto" w:line="360" w:before="120" w:after="120"/>
        <w:rPr>
          <w:rFonts w:ascii="ISOCPEUR" w:hAnsi="ISOCPEUR"/>
        </w:rPr>
      </w:pPr>
      <w:bookmarkStart w:id="19" w:name="__RefHeading___Toc6606_1471982776"/>
      <w:bookmarkStart w:id="20" w:name="_Toc185095268"/>
      <w:bookmarkEnd w:id="19"/>
      <w:r>
        <w:rPr>
          <w:rFonts w:ascii="ISOCPEUR" w:hAnsi="ISOCPEUR"/>
        </w:rPr>
        <w:t>Akty prawne</w:t>
      </w:r>
      <w:bookmarkEnd w:id="20"/>
    </w:p>
    <w:p>
      <w:pPr>
        <w:pStyle w:val="Tytu"/>
        <w:numPr>
          <w:ilvl w:val="0"/>
          <w:numId w:val="2"/>
        </w:numPr>
        <w:tabs>
          <w:tab w:val="clear" w:pos="708"/>
          <w:tab w:val="left" w:pos="567" w:leader="none"/>
        </w:tabs>
        <w:spacing w:lineRule="auto" w:line="360"/>
        <w:ind w:left="567" w:right="0" w:hanging="283"/>
        <w:rPr>
          <w:rFonts w:ascii="ISOCPEUR" w:hAnsi="ISOCPEUR"/>
        </w:rPr>
      </w:pPr>
      <w:r>
        <w:rPr>
          <w:rFonts w:ascii="ISOCPEUR" w:hAnsi="ISOCPEUR"/>
        </w:rPr>
        <w:t>Ustawa z dnia 07 lipca 1994 r. - Prawo Budowlane (Dz.U. 2021 r. poz. 2351 z późniejszymi zmianami)</w:t>
      </w:r>
    </w:p>
    <w:p>
      <w:pPr>
        <w:pStyle w:val="Tytu"/>
        <w:numPr>
          <w:ilvl w:val="0"/>
          <w:numId w:val="2"/>
        </w:numPr>
        <w:tabs>
          <w:tab w:val="clear" w:pos="708"/>
          <w:tab w:val="left" w:pos="567" w:leader="none"/>
        </w:tabs>
        <w:spacing w:lineRule="auto" w:line="360"/>
        <w:ind w:left="567" w:right="0" w:hanging="283"/>
        <w:rPr>
          <w:rFonts w:ascii="ISOCPEUR" w:hAnsi="ISOCPEUR"/>
        </w:rPr>
      </w:pPr>
      <w:r>
        <w:rPr>
          <w:rFonts w:ascii="ISOCPEUR" w:hAnsi="ISOCPEUR"/>
        </w:rPr>
        <w:t xml:space="preserve">Rozporządzenie Ministra Infrastruktury z dnia 12 kwietnia 2002 r. w sprawie warunków </w:t>
        <w:br/>
        <w:t>technicznych, jakim powinny odpowiadać budynki i ich usytuowanie (t.j. Dz. U. 2022 r. poz. 1225 z późniejszymi zmianami)</w:t>
      </w:r>
    </w:p>
    <w:p>
      <w:pPr>
        <w:pStyle w:val="Tytu"/>
        <w:numPr>
          <w:ilvl w:val="0"/>
          <w:numId w:val="2"/>
        </w:numPr>
        <w:tabs>
          <w:tab w:val="clear" w:pos="708"/>
          <w:tab w:val="left" w:pos="567" w:leader="none"/>
        </w:tabs>
        <w:spacing w:lineRule="auto" w:line="360"/>
        <w:ind w:left="567" w:right="0" w:hanging="283"/>
        <w:rPr>
          <w:rFonts w:ascii="ISOCPEUR" w:hAnsi="ISOCPEUR"/>
        </w:rPr>
      </w:pPr>
      <w:r>
        <w:rPr>
          <w:rFonts w:ascii="ISOCPEUR" w:hAnsi="ISOCPEUR"/>
        </w:rPr>
        <w:t xml:space="preserve">Rozporządzenie Ministra Transportu, Budownictwa i Gospodarki Morskiej z dnia 25 kwietnia 2012 r. w sprawie szczegółowego zakresu i formy projektu budowlanego </w:t>
        <w:br/>
        <w:t>(Dz. U. 2020 r. poz. 1609)</w:t>
      </w:r>
    </w:p>
    <w:p>
      <w:pPr>
        <w:pStyle w:val="Tytu"/>
        <w:numPr>
          <w:ilvl w:val="0"/>
          <w:numId w:val="2"/>
        </w:numPr>
        <w:tabs>
          <w:tab w:val="clear" w:pos="708"/>
          <w:tab w:val="left" w:pos="567" w:leader="none"/>
        </w:tabs>
        <w:spacing w:lineRule="auto" w:line="360"/>
        <w:ind w:left="567" w:right="0" w:hanging="283"/>
        <w:rPr>
          <w:rFonts w:ascii="ISOCPEUR" w:hAnsi="ISOCPEUR"/>
        </w:rPr>
      </w:pPr>
      <w:r>
        <w:rPr>
          <w:rFonts w:ascii="ISOCPEUR" w:hAnsi="ISOCPEUR"/>
        </w:rPr>
        <w:t>Rozporządzenie Ministra Infrastruktury z dnia 6 lutego 2003 r. w sprawie bezpieczeństwa</w:t>
        <w:br/>
        <w:t>i higieny pracy podczas wykonywania robót budowlanych (Dz. U. z 2003 r. Nr 47, poz. 401)</w:t>
      </w:r>
    </w:p>
    <w:p>
      <w:pPr>
        <w:pStyle w:val="Nagwek1"/>
        <w:spacing w:lineRule="auto" w:line="360"/>
        <w:rPr>
          <w:rFonts w:ascii="ISOCPEUR" w:hAnsi="ISOCPEUR"/>
        </w:rPr>
      </w:pPr>
      <w:bookmarkStart w:id="21" w:name="__RefHeading___Toc6608_1471982776"/>
      <w:bookmarkStart w:id="22" w:name="_Toc185095269"/>
      <w:bookmarkStart w:id="23" w:name="_Toc909762381"/>
      <w:bookmarkStart w:id="24" w:name="_Toc792317881"/>
      <w:bookmarkEnd w:id="21"/>
      <w:bookmarkEnd w:id="23"/>
      <w:bookmarkEnd w:id="24"/>
      <w:r>
        <w:rPr>
          <w:rFonts w:ascii="ISOCPEUR" w:hAnsi="ISOCPEUR"/>
        </w:rPr>
        <w:t>OPIS STANU ISTNIEJĄCEGO</w:t>
      </w:r>
      <w:bookmarkEnd w:id="22"/>
    </w:p>
    <w:p>
      <w:pPr>
        <w:pStyle w:val="Nagwek2"/>
        <w:spacing w:lineRule="auto" w:line="360"/>
        <w:rPr>
          <w:rFonts w:ascii="ISOCPEUR" w:hAnsi="ISOCPEUR"/>
        </w:rPr>
      </w:pPr>
      <w:bookmarkStart w:id="25" w:name="__RefHeading___Toc6614_1471982776"/>
      <w:bookmarkStart w:id="26" w:name="_Toc185095272"/>
      <w:bookmarkStart w:id="27" w:name="_Toc909762451"/>
      <w:bookmarkStart w:id="28" w:name="_Toc792317921"/>
      <w:bookmarkStart w:id="29" w:name="_Hlk1000597971"/>
      <w:bookmarkEnd w:id="25"/>
      <w:bookmarkEnd w:id="27"/>
      <w:bookmarkEnd w:id="28"/>
      <w:bookmarkEnd w:id="29"/>
      <w:r>
        <w:rPr>
          <w:rFonts w:ascii="ISOCPEUR" w:hAnsi="ISOCPEUR"/>
        </w:rPr>
        <w:t>Istniejące zagospodarowanie terenu</w:t>
      </w:r>
      <w:bookmarkEnd w:id="26"/>
    </w:p>
    <w:p>
      <w:pPr>
        <w:pStyle w:val="Normal"/>
        <w:spacing w:lineRule="auto" w:line="360"/>
        <w:rPr>
          <w:rFonts w:ascii="ISOCPEUR" w:hAnsi="ISOCPEUR"/>
        </w:rPr>
      </w:pPr>
      <w:r>
        <w:rPr>
          <w:rFonts w:ascii="ISOCPEUR" w:hAnsi="ISOCPEUR"/>
          <w:color w:val="auto"/>
        </w:rPr>
        <w:t xml:space="preserve">Teren będący przedmiotem opracowania stanowi działka o numerze ewid. </w:t>
      </w:r>
      <w:r>
        <w:rPr>
          <w:rFonts w:eastAsia="Segoe UI" w:cs="Tahoma" w:ascii="ISOCPEUR" w:hAnsi="ISOCPEUR"/>
          <w:color w:val="auto"/>
          <w:kern w:val="0"/>
          <w:sz w:val="22"/>
          <w:szCs w:val="22"/>
          <w:lang w:val="pl-PL" w:eastAsia="en-US" w:bidi="ar-SA"/>
        </w:rPr>
        <w:t>129/2</w:t>
      </w:r>
      <w:r>
        <w:rPr>
          <w:rFonts w:ascii="ISOCPEUR" w:hAnsi="ISOCPEUR"/>
          <w:color w:val="auto"/>
        </w:rPr>
        <w:t xml:space="preserve"> zlokalizowana </w:t>
        <w:br/>
        <w:t xml:space="preserve">w m. </w:t>
      </w:r>
      <w:r>
        <w:rPr>
          <w:rFonts w:eastAsia="Segoe UI" w:cs="Tahoma" w:ascii="ISOCPEUR" w:hAnsi="ISOCPEUR"/>
          <w:color w:val="auto"/>
          <w:kern w:val="0"/>
          <w:sz w:val="22"/>
          <w:szCs w:val="22"/>
          <w:lang w:val="pl-PL" w:eastAsia="en-US" w:bidi="ar-SA"/>
        </w:rPr>
        <w:t>Krępiec</w:t>
      </w:r>
      <w:r>
        <w:rPr>
          <w:rFonts w:ascii="ISOCPEUR" w:hAnsi="ISOCPEUR"/>
          <w:color w:val="auto"/>
        </w:rPr>
        <w:t xml:space="preserve">, gmina Mełgiew. </w:t>
      </w:r>
      <w:r>
        <w:rPr>
          <w:rFonts w:eastAsia="Segoe UI" w:cs="Tahoma" w:ascii="ISOCPEUR" w:hAnsi="ISOCPEUR"/>
          <w:color w:val="auto"/>
          <w:kern w:val="0"/>
          <w:sz w:val="22"/>
          <w:szCs w:val="22"/>
          <w:lang w:val="pl-PL" w:eastAsia="en-US" w:bidi="ar-SA"/>
        </w:rPr>
        <w:t>Na terenie działki, zlokalizowany jest budynek istniejący, w złym stanie technicznym. Przewidziana jest rozbiórka ww. obiektu – wg projektu PZT. Dojazd do działki bezpośrednio z drogi gminnej.</w:t>
      </w:r>
    </w:p>
    <w:p>
      <w:pPr>
        <w:pStyle w:val="Normal"/>
        <w:spacing w:lineRule="auto" w:line="360"/>
        <w:rPr>
          <w:rFonts w:ascii="ISOCPEUR" w:hAnsi="ISOCPEUR"/>
        </w:rPr>
      </w:pPr>
      <w:r>
        <w:rPr>
          <w:rFonts w:ascii="ISOCPEUR" w:hAnsi="ISOCPEUR"/>
          <w:color w:val="auto"/>
        </w:rPr>
        <w:t>Istniejąca infrastruktura techniczna na działce: elektroenergetyczna linia niskiego napięcia,</w:t>
      </w:r>
    </w:p>
    <w:p>
      <w:pPr>
        <w:pStyle w:val="Nagwek1"/>
        <w:shd w:val="clear" w:fill="auto"/>
        <w:spacing w:lineRule="auto" w:line="360"/>
        <w:rPr>
          <w:rFonts w:ascii="ISOCPEUR" w:hAnsi="ISOCPEUR"/>
        </w:rPr>
      </w:pPr>
      <w:bookmarkStart w:id="30" w:name="__RefHeading___Toc6616_1471982776"/>
      <w:bookmarkStart w:id="31" w:name="_Toc185095273"/>
      <w:bookmarkEnd w:id="30"/>
      <w:r>
        <w:rPr>
          <w:rFonts w:ascii="ISOCPEUR" w:hAnsi="ISOCPEUR"/>
        </w:rPr>
        <w:t>OPIS STANU PROJEKTOWANEGO</w:t>
      </w:r>
      <w:bookmarkEnd w:id="31"/>
    </w:p>
    <w:p>
      <w:pPr>
        <w:pStyle w:val="Nagwek2"/>
        <w:spacing w:lineRule="auto" w:line="360"/>
        <w:rPr>
          <w:rFonts w:ascii="ISOCPEUR" w:hAnsi="ISOCPEUR"/>
        </w:rPr>
      </w:pPr>
      <w:bookmarkStart w:id="32" w:name="__RefHeading___Toc6618_1471982776"/>
      <w:bookmarkStart w:id="33" w:name="_Toc185095274"/>
      <w:bookmarkStart w:id="34" w:name="_Toc90976257"/>
      <w:bookmarkEnd w:id="32"/>
      <w:r>
        <w:rPr>
          <w:rFonts w:ascii="ISOCPEUR" w:hAnsi="ISOCPEUR"/>
        </w:rPr>
        <w:t>ROBOTY ROZBIÓRKOWE I PRACE DEMONTAŻOWE</w:t>
      </w:r>
      <w:bookmarkEnd w:id="33"/>
      <w:bookmarkEnd w:id="34"/>
    </w:p>
    <w:p>
      <w:pPr>
        <w:pStyle w:val="Normal"/>
        <w:spacing w:lineRule="auto" w:line="360"/>
        <w:rPr>
          <w:rFonts w:ascii="ISOCPEUR" w:hAnsi="ISOCPEUR"/>
        </w:rPr>
      </w:pPr>
      <w:r>
        <w:rPr>
          <w:rFonts w:ascii="ISOCPEUR" w:hAnsi="ISOCPEUR"/>
        </w:rPr>
        <w:t xml:space="preserve">W ramach realizacji </w:t>
      </w:r>
      <w:r>
        <w:rPr>
          <w:rFonts w:ascii="ISOCPEUR" w:hAnsi="ISOCPEUR"/>
        </w:rPr>
        <w:t xml:space="preserve">całego </w:t>
      </w:r>
      <w:r>
        <w:rPr>
          <w:rFonts w:ascii="ISOCPEUR" w:hAnsi="ISOCPEUR"/>
        </w:rPr>
        <w:t>projektu przewiduje się rob</w:t>
      </w:r>
      <w:r>
        <w:rPr>
          <w:rFonts w:ascii="ISOCPEUR" w:hAnsi="ISOCPEUR"/>
          <w:color w:val="auto"/>
          <w:kern w:val="0"/>
          <w:sz w:val="22"/>
          <w:szCs w:val="22"/>
          <w:lang w:val="pl-PL" w:eastAsia="en-US" w:bidi="ar-SA"/>
        </w:rPr>
        <w:t xml:space="preserve">oty </w:t>
      </w:r>
      <w:r>
        <w:rPr>
          <w:rFonts w:eastAsia="Segoe UI" w:cs="Tahoma" w:ascii="ISOCPEUR" w:hAnsi="ISOCPEUR"/>
          <w:color w:val="auto"/>
          <w:kern w:val="0"/>
          <w:sz w:val="22"/>
          <w:szCs w:val="22"/>
          <w:lang w:val="pl-PL" w:eastAsia="en-US" w:bidi="ar-SA"/>
        </w:rPr>
        <w:t>rozbiórkowe istniejącego budynku</w:t>
      </w:r>
      <w:r>
        <w:rPr>
          <w:rFonts w:ascii="ISOCPEUR" w:hAnsi="ISOCPEUR"/>
        </w:rPr>
        <w:t>.</w:t>
      </w:r>
    </w:p>
    <w:p>
      <w:pPr>
        <w:pStyle w:val="Nagwek2"/>
        <w:spacing w:lineRule="auto" w:line="360"/>
        <w:rPr>
          <w:rFonts w:ascii="ISOCPEUR" w:hAnsi="ISOCPEUR"/>
        </w:rPr>
      </w:pPr>
      <w:bookmarkStart w:id="35" w:name="__RefHeading___Toc6620_1471982776"/>
      <w:bookmarkStart w:id="36" w:name="_Toc185095275"/>
      <w:bookmarkEnd w:id="35"/>
      <w:r>
        <w:rPr>
          <w:rFonts w:ascii="ISOCPEUR" w:hAnsi="ISOCPEUR"/>
        </w:rPr>
        <w:t>PROJEKTOWANE ZAGOSPODAROWANIE DZIAŁKI</w:t>
      </w:r>
      <w:bookmarkEnd w:id="36"/>
    </w:p>
    <w:p>
      <w:pPr>
        <w:pStyle w:val="Wypunktowanie2"/>
        <w:numPr>
          <w:ilvl w:val="0"/>
          <w:numId w:val="0"/>
        </w:numPr>
        <w:spacing w:lineRule="auto" w:line="360"/>
        <w:ind w:left="0" w:right="0" w:hanging="0"/>
        <w:rPr>
          <w:rFonts w:ascii="ISOCPEUR" w:hAnsi="ISOCPEUR"/>
        </w:rPr>
      </w:pPr>
      <w:r>
        <w:rPr>
          <w:rFonts w:ascii="ISOCPEUR" w:hAnsi="ISOCPEUR"/>
        </w:rPr>
        <w:t>Przedmiotowe zagospodarowanie działki swoim zakresem obejmuje:</w:t>
      </w:r>
    </w:p>
    <w:p>
      <w:pPr>
        <w:pStyle w:val="Wypunktowanie2"/>
        <w:numPr>
          <w:ilvl w:val="0"/>
          <w:numId w:val="3"/>
        </w:numPr>
        <w:spacing w:lineRule="auto" w:line="360"/>
        <w:ind w:left="709" w:right="0" w:hanging="360"/>
        <w:rPr>
          <w:rFonts w:ascii="ISOCPEUR" w:hAnsi="ISOCPEUR"/>
        </w:rPr>
      </w:pPr>
      <w:r>
        <w:rPr>
          <w:rFonts w:ascii="ISOCPEUR" w:hAnsi="ISOCPEUR"/>
        </w:rPr>
        <w:t xml:space="preserve">wykonanie opaski odwaniającej </w:t>
      </w:r>
      <w:r>
        <w:rPr>
          <w:rFonts w:eastAsia="Segoe UI" w:cs="Tahoma" w:ascii="ISOCPEUR" w:hAnsi="ISOCPEUR"/>
          <w:color w:val="auto"/>
          <w:kern w:val="0"/>
          <w:sz w:val="22"/>
          <w:szCs w:val="22"/>
          <w:lang w:val="pl-PL" w:eastAsia="en-US" w:bidi="ar-SA"/>
        </w:rPr>
        <w:t>wokół budynku</w:t>
      </w:r>
      <w:r>
        <w:rPr>
          <w:rFonts w:ascii="ISOCPEUR" w:hAnsi="ISOCPEUR"/>
        </w:rPr>
        <w:t xml:space="preserve"> oraz utwardzenia pod agregat prądotwórczy,</w:t>
      </w:r>
    </w:p>
    <w:p>
      <w:pPr>
        <w:pStyle w:val="Wypunktowanie2"/>
        <w:numPr>
          <w:ilvl w:val="0"/>
          <w:numId w:val="3"/>
        </w:numPr>
        <w:spacing w:lineRule="auto" w:line="360"/>
        <w:ind w:left="709" w:right="0" w:hanging="360"/>
        <w:rPr>
          <w:rFonts w:ascii="ISOCPEUR" w:hAnsi="ISOCPEUR"/>
        </w:rPr>
      </w:pPr>
      <w:r>
        <w:rPr>
          <w:rFonts w:ascii="ISOCPEUR" w:hAnsi="ISOCPEUR"/>
        </w:rPr>
        <w:t xml:space="preserve">budowę zbiornika wyrównawczego zapasu wody pitnej o pojemności </w:t>
      </w:r>
      <w:r>
        <w:rPr>
          <w:rFonts w:eastAsia="Segoe UI" w:cs="Tahoma" w:ascii="ISOCPEUR" w:hAnsi="ISOCPEUR"/>
          <w:color w:val="auto"/>
          <w:kern w:val="0"/>
          <w:sz w:val="22"/>
          <w:szCs w:val="22"/>
          <w:lang w:val="pl-PL" w:eastAsia="en-US" w:bidi="ar-SA"/>
        </w:rPr>
        <w:t>245</w:t>
      </w:r>
      <w:r>
        <w:rPr>
          <w:rFonts w:ascii="ISOCPEUR" w:hAnsi="ISOCPEUR"/>
        </w:rPr>
        <w:t>m</w:t>
      </w:r>
      <w:r>
        <w:rPr>
          <w:rFonts w:ascii="ISOCPEUR" w:hAnsi="ISOCPEUR"/>
          <w:vertAlign w:val="superscript"/>
        </w:rPr>
        <w:t>3</w:t>
      </w:r>
      <w:r>
        <w:rPr>
          <w:rFonts w:ascii="ISOCPEUR" w:hAnsi="ISOCPEUR"/>
        </w:rPr>
        <w:t>, wraz z fundamentem</w:t>
      </w:r>
    </w:p>
    <w:p>
      <w:pPr>
        <w:pStyle w:val="Wypunktowanie2"/>
        <w:numPr>
          <w:ilvl w:val="0"/>
          <w:numId w:val="3"/>
        </w:numPr>
        <w:spacing w:lineRule="auto" w:line="360"/>
        <w:ind w:left="709" w:right="0" w:hanging="360"/>
        <w:rPr>
          <w:rFonts w:ascii="ISOCPEUR" w:hAnsi="ISOCPEUR"/>
        </w:rPr>
      </w:pPr>
      <w:r>
        <w:rPr>
          <w:rFonts w:ascii="ISOCPEUR" w:hAnsi="ISOCPEUR"/>
        </w:rPr>
        <w:t>budowę zbiorników technicznych bezodpływowych o pojemności:</w:t>
      </w:r>
    </w:p>
    <w:p>
      <w:pPr>
        <w:pStyle w:val="Wypunktowanie2"/>
        <w:numPr>
          <w:ilvl w:val="0"/>
          <w:numId w:val="0"/>
        </w:numPr>
        <w:spacing w:lineRule="auto" w:line="360"/>
        <w:ind w:left="2127" w:right="0" w:hanging="0"/>
        <w:rPr>
          <w:rFonts w:ascii="ISOCPEUR" w:hAnsi="ISOCPEUR"/>
        </w:rPr>
      </w:pPr>
      <w:r>
        <w:rPr>
          <w:rFonts w:ascii="ISOCPEUR" w:hAnsi="ISOCPEUR"/>
        </w:rPr>
        <w:t>a) 2m3 – obsługa stacji dozowania podchlorynu sodu,</w:t>
      </w:r>
    </w:p>
    <w:p>
      <w:pPr>
        <w:pStyle w:val="Wypunktowanie2"/>
        <w:numPr>
          <w:ilvl w:val="0"/>
          <w:numId w:val="0"/>
        </w:numPr>
        <w:spacing w:lineRule="auto" w:line="360"/>
        <w:ind w:left="2127" w:right="0" w:hanging="0"/>
        <w:rPr>
          <w:rFonts w:ascii="ISOCPEUR" w:hAnsi="ISOCPEUR"/>
        </w:rPr>
      </w:pPr>
      <w:r>
        <w:rPr>
          <w:rFonts w:ascii="ISOCPEUR" w:hAnsi="ISOCPEUR"/>
        </w:rPr>
        <w:t xml:space="preserve">b) </w:t>
      </w:r>
      <w:r>
        <w:rPr>
          <w:rFonts w:eastAsia="Segoe UI" w:cs="Tahoma" w:ascii="ISOCPEUR" w:hAnsi="ISOCPEUR"/>
          <w:color w:val="auto"/>
          <w:kern w:val="0"/>
          <w:sz w:val="22"/>
          <w:szCs w:val="22"/>
          <w:lang w:val="pl-PL" w:eastAsia="en-US" w:bidi="ar-SA"/>
        </w:rPr>
        <w:t>2</w:t>
      </w:r>
      <w:r>
        <w:rPr>
          <w:rFonts w:ascii="ISOCPEUR" w:hAnsi="ISOCPEUR"/>
        </w:rPr>
        <w:t xml:space="preserve">m3 – </w:t>
      </w:r>
      <w:r>
        <w:rPr>
          <w:rFonts w:eastAsia="Segoe UI" w:cs="Tahoma" w:ascii="ISOCPEUR" w:hAnsi="ISOCPEUR"/>
          <w:color w:val="auto"/>
          <w:kern w:val="0"/>
          <w:sz w:val="22"/>
          <w:szCs w:val="22"/>
          <w:lang w:val="pl-PL" w:eastAsia="en-US" w:bidi="ar-SA"/>
        </w:rPr>
        <w:t>zbiornik na ścieki socjalno-bytowe</w:t>
      </w:r>
      <w:r>
        <w:rPr>
          <w:rFonts w:ascii="ISOCPEUR" w:hAnsi="ISOCPEUR"/>
        </w:rPr>
        <w:t>,</w:t>
      </w:r>
    </w:p>
    <w:p>
      <w:pPr>
        <w:pStyle w:val="Wypunktowanie2"/>
        <w:numPr>
          <w:ilvl w:val="0"/>
          <w:numId w:val="0"/>
        </w:numPr>
        <w:spacing w:lineRule="auto" w:line="360"/>
        <w:ind w:left="2127" w:right="0" w:hanging="0"/>
        <w:rPr>
          <w:rFonts w:ascii="ISOCPEUR" w:hAnsi="ISOCPEUR"/>
        </w:rPr>
      </w:pPr>
      <w:r>
        <w:rPr>
          <w:rFonts w:ascii="ISOCPEUR" w:hAnsi="ISOCPEUR"/>
        </w:rPr>
        <w:t>c) 20m3 – cele konserwacji zbiornika wyrównawczego,</w:t>
      </w:r>
    </w:p>
    <w:p>
      <w:pPr>
        <w:pStyle w:val="Wypunktowanie2"/>
        <w:numPr>
          <w:ilvl w:val="0"/>
          <w:numId w:val="3"/>
        </w:numPr>
        <w:spacing w:lineRule="auto" w:line="360"/>
        <w:ind w:left="709" w:right="0" w:hanging="360"/>
        <w:rPr>
          <w:rFonts w:ascii="ISOCPEUR" w:hAnsi="ISOCPEUR"/>
        </w:rPr>
      </w:pPr>
      <w:r>
        <w:rPr>
          <w:rFonts w:ascii="ISOCPEUR" w:hAnsi="ISOCPEUR"/>
        </w:rPr>
        <w:t>budowę przewodów wodociągowych sieciowych oraz związanych z uzupełnianiem i obsługą zbiornika zapasu wody, wg części rysunkowej</w:t>
      </w:r>
    </w:p>
    <w:p>
      <w:pPr>
        <w:pStyle w:val="Wypunktowanie2"/>
        <w:numPr>
          <w:ilvl w:val="0"/>
          <w:numId w:val="0"/>
        </w:numPr>
        <w:spacing w:lineRule="auto" w:line="360"/>
        <w:ind w:left="2127" w:right="0" w:hanging="0"/>
        <w:rPr>
          <w:rFonts w:ascii="ISOCPEUR" w:hAnsi="ISOCPEUR"/>
        </w:rPr>
      </w:pPr>
      <w:r>
        <w:rPr>
          <w:rFonts w:ascii="ISOCPEUR" w:hAnsi="ISOCPEUR"/>
        </w:rPr>
      </w:r>
    </w:p>
    <w:p>
      <w:pPr>
        <w:pStyle w:val="Normal"/>
        <w:numPr>
          <w:ilvl w:val="0"/>
          <w:numId w:val="0"/>
        </w:numPr>
        <w:spacing w:lineRule="auto" w:line="360"/>
        <w:ind w:right="0" w:hanging="0"/>
        <w:rPr>
          <w:rFonts w:ascii="ISOCPEUR" w:hAnsi="ISOCPEUR"/>
        </w:rPr>
      </w:pPr>
      <w:r>
        <w:rPr>
          <w:rFonts w:ascii="ISOCPEUR" w:hAnsi="ISOCPEUR"/>
        </w:rPr>
        <w:t>Projektuje się zbiornik bezodpływowy o pojemności 20m3 w celach konserwacji zbiornika wyrównawczego. Lokalizacja zbiornika wg części graficznej opracowania.</w:t>
      </w:r>
    </w:p>
    <w:p>
      <w:pPr>
        <w:pStyle w:val="Normal"/>
        <w:numPr>
          <w:ilvl w:val="0"/>
          <w:numId w:val="0"/>
        </w:numPr>
        <w:spacing w:lineRule="auto" w:line="360"/>
        <w:ind w:right="0" w:hanging="0"/>
        <w:rPr>
          <w:rFonts w:ascii="ISOCPEUR" w:hAnsi="ISOCPEUR"/>
        </w:rPr>
      </w:pPr>
      <w:r>
        <w:rPr>
          <w:rFonts w:ascii="ISOCPEUR" w:hAnsi="ISOCPEUR"/>
          <w:b/>
          <w:bCs/>
        </w:rPr>
        <w:t>ROBOTY ZIEMNE</w:t>
      </w:r>
    </w:p>
    <w:p>
      <w:pPr>
        <w:pStyle w:val="Normal"/>
        <w:suppressAutoHyphens w:val="true"/>
        <w:bidi w:val="0"/>
        <w:spacing w:lineRule="auto" w:line="360" w:before="0" w:after="0"/>
        <w:jc w:val="both"/>
        <w:rPr>
          <w:rFonts w:ascii="ISOCPEUR" w:hAnsi="ISOCPEUR"/>
        </w:rPr>
      </w:pPr>
      <w:r>
        <w:rPr>
          <w:rFonts w:cs="Calibri" w:ascii="ISOCPEUR" w:hAnsi="ISOCPEUR"/>
          <w:color w:val="auto"/>
          <w:sz w:val="22"/>
          <w:szCs w:val="22"/>
          <w:lang w:val="pl-PL" w:eastAsia="pl-PL"/>
        </w:rPr>
        <w:t>Wykop otwarty - t</w:t>
      </w:r>
      <w:r>
        <w:rPr>
          <w:rFonts w:cs="Calibri" w:ascii="ISOCPEUR" w:hAnsi="ISOCPEUR"/>
          <w:color w:val="auto"/>
          <w:sz w:val="22"/>
          <w:szCs w:val="22"/>
          <w:lang w:val="pl-PL"/>
        </w:rPr>
        <w:t>rasa wykopów powinna być wytyczona przez służby geodezyjne, a po wykonaniu robót zainwentaryzowana. Roboty ziemne w obrębie do 2 m od uzbrojenia podziemnego wykonać ręcznie. Wykonanie wykopów 80 % jako mechaniczne i 20 % jako ręczne. Wykopy wykonać jako wąskoprzestrzenne o ścianach pionowych z zabezpieczeniem pełnym ścian wykopu płytami wykopowymi. Dopuszcza się wykonanie szalunku tradycyjnego np. z wyprasek lub grodzic w układzie poziomym. Urobek z wykopów, które zasypywane są piaskiem transportowany samochodami samowyładowczymi poza plac budowy. Urobek z wykopów, które zasypywane są gruntem rodzimym składowany na odkład wzdłuż wykopów. Roboty ziemne wykonać jak niżej:</w:t>
        <w:tab/>
      </w:r>
    </w:p>
    <w:p>
      <w:pPr>
        <w:pStyle w:val="Normal"/>
        <w:widowControl/>
        <w:tabs>
          <w:tab w:val="clear" w:pos="708"/>
          <w:tab w:val="left" w:pos="284" w:leader="none"/>
        </w:tabs>
        <w:suppressAutoHyphens w:val="true"/>
        <w:bidi w:val="0"/>
        <w:spacing w:lineRule="auto" w:line="360"/>
        <w:ind w:left="283" w:right="0" w:hanging="283"/>
        <w:jc w:val="both"/>
        <w:rPr>
          <w:rFonts w:ascii="ISOCPEUR" w:hAnsi="ISOCPEUR"/>
        </w:rPr>
      </w:pPr>
      <w:r>
        <w:rPr>
          <w:rFonts w:cs="Calibri" w:ascii="ISOCPEUR" w:hAnsi="ISOCPEUR"/>
          <w:color w:val="auto"/>
          <w:sz w:val="22"/>
          <w:szCs w:val="22"/>
          <w:lang w:val="pl-PL"/>
        </w:rPr>
        <w:t>- usunąć warstwę gruntu rodzimego na głębokość 0,10-0,30 m poniżej posadowienia przewodu,</w:t>
      </w:r>
    </w:p>
    <w:p>
      <w:pPr>
        <w:pStyle w:val="Normal"/>
        <w:widowControl/>
        <w:tabs>
          <w:tab w:val="clear" w:pos="708"/>
          <w:tab w:val="left" w:pos="284" w:leader="none"/>
        </w:tabs>
        <w:suppressAutoHyphens w:val="true"/>
        <w:bidi w:val="0"/>
        <w:spacing w:lineRule="auto" w:line="360"/>
        <w:ind w:left="283" w:right="0" w:hanging="283"/>
        <w:jc w:val="both"/>
        <w:rPr>
          <w:rFonts w:ascii="ISOCPEUR" w:hAnsi="ISOCPEUR"/>
        </w:rPr>
      </w:pPr>
      <w:r>
        <w:rPr>
          <w:rFonts w:cs="Calibri" w:ascii="ISOCPEUR" w:hAnsi="ISOCPEUR"/>
          <w:color w:val="auto"/>
          <w:sz w:val="22"/>
          <w:szCs w:val="22"/>
          <w:lang w:val="pl-PL"/>
        </w:rPr>
        <w:t>- wykonać podsypkę z piasku grubego lub średniego dobrze uziarnionego bez zagęszczenia  bezpośrednio pod rurą,</w:t>
      </w:r>
    </w:p>
    <w:p>
      <w:pPr>
        <w:pStyle w:val="Normal"/>
        <w:widowControl/>
        <w:tabs>
          <w:tab w:val="clear" w:pos="708"/>
          <w:tab w:val="left" w:pos="284" w:leader="none"/>
        </w:tabs>
        <w:suppressAutoHyphens w:val="true"/>
        <w:bidi w:val="0"/>
        <w:spacing w:lineRule="auto" w:line="360"/>
        <w:ind w:left="283" w:right="0" w:hanging="283"/>
        <w:jc w:val="both"/>
        <w:rPr>
          <w:rFonts w:ascii="ISOCPEUR" w:hAnsi="ISOCPEUR"/>
        </w:rPr>
      </w:pPr>
      <w:r>
        <w:rPr>
          <w:rFonts w:cs="Calibri" w:ascii="ISOCPEUR" w:hAnsi="ISOCPEUR"/>
          <w:color w:val="auto"/>
          <w:sz w:val="22"/>
          <w:szCs w:val="22"/>
          <w:lang w:val="pl-PL"/>
        </w:rPr>
        <w:t>- po ułożeniu rurociągu w wykopie i wykonaniu próby szczelności wykonać obsypkę do wysokości 0,30 m ponad wierzch przewodu z piasku o uziarnieniu j.w. i zagęścić ją do wskaźnika zagęszczenia Is &gt;= 0,98,</w:t>
      </w:r>
    </w:p>
    <w:p>
      <w:pPr>
        <w:pStyle w:val="Normal"/>
        <w:widowControl/>
        <w:tabs>
          <w:tab w:val="clear" w:pos="708"/>
          <w:tab w:val="left" w:pos="284" w:leader="none"/>
        </w:tabs>
        <w:suppressAutoHyphens w:val="true"/>
        <w:bidi w:val="0"/>
        <w:spacing w:lineRule="auto" w:line="360"/>
        <w:ind w:left="283" w:right="0" w:hanging="283"/>
        <w:jc w:val="both"/>
        <w:rPr>
          <w:rFonts w:ascii="ISOCPEUR" w:hAnsi="ISOCPEUR"/>
        </w:rPr>
      </w:pPr>
      <w:r>
        <w:rPr>
          <w:rFonts w:cs="Calibri" w:ascii="ISOCPEUR" w:hAnsi="ISOCPEUR"/>
          <w:color w:val="auto"/>
          <w:sz w:val="22"/>
          <w:szCs w:val="22"/>
          <w:lang w:val="pl-PL"/>
        </w:rPr>
        <w:t xml:space="preserve">- pozostałą część wykopu zasypać: </w:t>
      </w:r>
    </w:p>
    <w:p>
      <w:pPr>
        <w:pStyle w:val="Normal"/>
        <w:widowControl/>
        <w:tabs>
          <w:tab w:val="clear" w:pos="708"/>
          <w:tab w:val="left" w:pos="300" w:leader="none"/>
          <w:tab w:val="left" w:pos="360" w:leader="none"/>
          <w:tab w:val="left" w:pos="1470" w:leader="none"/>
        </w:tabs>
        <w:suppressAutoHyphens w:val="true"/>
        <w:bidi w:val="0"/>
        <w:spacing w:lineRule="auto" w:line="360"/>
        <w:ind w:left="850" w:right="0" w:hanging="283"/>
        <w:jc w:val="both"/>
        <w:rPr>
          <w:rFonts w:ascii="ISOCPEUR" w:hAnsi="ISOCPEUR"/>
        </w:rPr>
      </w:pPr>
      <w:r>
        <w:rPr>
          <w:rFonts w:cs="Calibri" w:ascii="ISOCPEUR" w:hAnsi="ISOCPEUR"/>
          <w:color w:val="auto"/>
          <w:sz w:val="22"/>
          <w:szCs w:val="22"/>
          <w:lang w:val="pl-PL"/>
        </w:rPr>
        <w:t>- pod drogami dojazdowymi, miejscami postojowymi, chodnikami - piaskiem o uziarnieniu jw. z zagęszczeniem zasypki warstwami do wskaźnika zagęszczenia Is = 1,00 oraz Is = 0,98 od głębokości 1,2 m w dół,</w:t>
      </w:r>
    </w:p>
    <w:p>
      <w:pPr>
        <w:pStyle w:val="Normal"/>
        <w:widowControl/>
        <w:tabs>
          <w:tab w:val="clear" w:pos="708"/>
          <w:tab w:val="left" w:pos="300" w:leader="none"/>
          <w:tab w:val="left" w:pos="360" w:leader="none"/>
          <w:tab w:val="left" w:pos="1470" w:leader="none"/>
        </w:tabs>
        <w:suppressAutoHyphens w:val="true"/>
        <w:bidi w:val="0"/>
        <w:spacing w:lineRule="auto" w:line="360"/>
        <w:ind w:left="850" w:right="0" w:hanging="283"/>
        <w:jc w:val="both"/>
        <w:rPr>
          <w:rFonts w:ascii="ISOCPEUR" w:hAnsi="ISOCPEUR"/>
        </w:rPr>
      </w:pPr>
      <w:r>
        <w:rPr>
          <w:rFonts w:cs="Calibri" w:ascii="ISOCPEUR" w:hAnsi="ISOCPEUR"/>
          <w:color w:val="auto"/>
          <w:sz w:val="22"/>
          <w:szCs w:val="22"/>
          <w:lang w:val="pl-PL"/>
        </w:rPr>
        <w:t>- w pasie zieleni - gruntem rodzimym i zasypkę bez ostatniej warstwy około 0,20 m zagęścić do wskaźnika zagęszczenia Is &gt;= 0,90.</w:t>
      </w:r>
    </w:p>
    <w:p>
      <w:pPr>
        <w:pStyle w:val="Tekstpodstawowywcity21"/>
        <w:suppressAutoHyphens w:val="true"/>
        <w:bidi w:val="0"/>
        <w:spacing w:lineRule="auto" w:line="360"/>
        <w:ind w:left="0" w:right="0" w:hanging="0"/>
        <w:jc w:val="both"/>
        <w:rPr>
          <w:rFonts w:ascii="ISOCPEUR" w:hAnsi="ISOCPEUR"/>
        </w:rPr>
      </w:pPr>
      <w:r>
        <w:rPr>
          <w:rFonts w:cs="Calibri" w:ascii="ISOCPEUR" w:hAnsi="ISOCPEUR"/>
          <w:b w:val="false"/>
          <w:bCs w:val="false"/>
          <w:color w:val="auto"/>
          <w:sz w:val="22"/>
          <w:szCs w:val="22"/>
          <w:lang w:val="pl-PL"/>
        </w:rPr>
        <w:tab/>
        <w:t>Wykonanie podłoża gruntowego i posadowienia przewodów winno być zgodne z wymaganiami PN-EN 1610 - Budowa i badania przewodów kanalizacyjnych. Prowadzenie robót ziemnych zgodnie z warunkami PN-B-10736 „Wykopy otwarte dla przewodów wodociągowych i kanalizacyjnych. Warunki techniczne wykonania”.</w:t>
      </w:r>
    </w:p>
    <w:p>
      <w:pPr>
        <w:pStyle w:val="Normal"/>
        <w:suppressAutoHyphens w:val="true"/>
        <w:bidi w:val="0"/>
        <w:spacing w:lineRule="auto" w:line="360"/>
        <w:ind w:left="0" w:right="0" w:hanging="0"/>
        <w:jc w:val="both"/>
        <w:rPr>
          <w:rFonts w:ascii="ISOCPEUR" w:hAnsi="ISOCPEUR"/>
        </w:rPr>
      </w:pPr>
      <w:r>
        <w:rPr>
          <w:rFonts w:cs="Calibri" w:ascii="ISOCPEUR" w:hAnsi="ISOCPEUR"/>
          <w:color w:val="auto"/>
          <w:sz w:val="22"/>
          <w:szCs w:val="22"/>
          <w:lang w:val="pl-PL" w:eastAsia="zxx" w:bidi="zxx"/>
        </w:rPr>
        <w:tab/>
        <w:t>Roboty ziemne wykonać zgodnie z warunkami ogólnymi podanymi w Warunkach Technicznych Wykonania i Odbioru Robót Budowlano-Montażowych tom I Budownictwo Ogólne przy zachowaniu warunków BHP określonych Rozporządzeniu Ministra Infrastruktury z dn. 06.02.2003 r (Dz. U. NR 47/03 poz.401).</w:t>
      </w:r>
    </w:p>
    <w:p>
      <w:pPr>
        <w:pStyle w:val="Normal"/>
        <w:suppressAutoHyphens w:val="true"/>
        <w:bidi w:val="0"/>
        <w:spacing w:lineRule="auto" w:line="276"/>
        <w:jc w:val="both"/>
        <w:rPr>
          <w:rFonts w:ascii="ISOCPEUR" w:hAnsi="ISOCPEUR"/>
        </w:rPr>
      </w:pPr>
      <w:r>
        <w:rPr>
          <w:rFonts w:eastAsia="Segoe UI" w:cs="Calibri" w:ascii="ISOCPEUR" w:hAnsi="ISOCPEUR"/>
          <w:b/>
          <w:bCs/>
          <w:i w:val="false"/>
          <w:iCs w:val="false"/>
          <w:color w:val="000000"/>
          <w:kern w:val="0"/>
          <w:sz w:val="22"/>
          <w:szCs w:val="22"/>
          <w:u w:val="none"/>
          <w:shd w:fill="auto" w:val="clear"/>
          <w:lang w:val="pl-PL" w:eastAsia="en-US" w:bidi="ar-SA"/>
        </w:rPr>
        <w:t>RUROCIĄGI – INSTALACJE WODOCIĄGOWE</w:t>
      </w:r>
    </w:p>
    <w:p>
      <w:pPr>
        <w:pStyle w:val="Normal"/>
        <w:suppressAutoHyphens w:val="true"/>
        <w:bidi w:val="0"/>
        <w:spacing w:lineRule="auto" w:line="360"/>
        <w:jc w:val="both"/>
        <w:rPr>
          <w:rFonts w:ascii="ISOCPEUR" w:hAnsi="ISOCPEUR"/>
        </w:rPr>
      </w:pPr>
      <w:r>
        <w:rPr>
          <w:rFonts w:eastAsia="Segoe UI" w:cs="Calibri" w:ascii="ISOCPEUR" w:hAnsi="ISOCPEUR"/>
          <w:i w:val="false"/>
          <w:iCs w:val="false"/>
          <w:color w:val="000000"/>
          <w:kern w:val="0"/>
          <w:sz w:val="22"/>
          <w:szCs w:val="22"/>
          <w:shd w:fill="auto" w:val="clear"/>
          <w:lang w:val="pl-PL" w:eastAsia="zxx" w:bidi="zxx"/>
        </w:rPr>
        <w:t>Przewody</w:t>
      </w:r>
      <w:r>
        <w:rPr>
          <w:rFonts w:cs="Calibri" w:ascii="ISOCPEUR" w:hAnsi="ISOCPEUR"/>
          <w:i w:val="false"/>
          <w:iCs w:val="false"/>
          <w:color w:val="000000"/>
          <w:sz w:val="22"/>
          <w:szCs w:val="22"/>
          <w:shd w:fill="auto" w:val="clear"/>
          <w:lang w:val="pl-PL" w:eastAsia="zxx" w:bidi="zxx"/>
        </w:rPr>
        <w:t xml:space="preserve"> wodociągowe wykonać z rur o średnicach </w:t>
      </w:r>
      <w:r>
        <w:rPr>
          <w:rFonts w:eastAsia="Times New Roman" w:cs="Calibri" w:ascii="ISOCPEUR" w:hAnsi="ISOCPEUR"/>
          <w:b w:val="false"/>
          <w:i w:val="false"/>
          <w:iCs w:val="false"/>
          <w:strike w:val="false"/>
          <w:dstrike w:val="false"/>
          <w:color w:val="000000"/>
          <w:sz w:val="22"/>
          <w:szCs w:val="22"/>
          <w:u w:val="none"/>
          <w:shd w:fill="auto" w:val="clear"/>
          <w:lang w:val="pl-PL" w:eastAsia="zh-CN" w:bidi="ar-SA"/>
        </w:rPr>
        <w:t xml:space="preserve">dn </w:t>
      </w:r>
      <w:r>
        <w:rPr>
          <w:rFonts w:eastAsia="Times New Roman" w:cs="Calibri" w:ascii="ISOCPEUR" w:hAnsi="ISOCPEUR"/>
          <w:b w:val="false"/>
          <w:i w:val="false"/>
          <w:iCs w:val="false"/>
          <w:strike w:val="false"/>
          <w:dstrike w:val="false"/>
          <w:color w:val="000000"/>
          <w:kern w:val="0"/>
          <w:sz w:val="22"/>
          <w:szCs w:val="22"/>
          <w:u w:val="none"/>
          <w:shd w:fill="auto" w:val="clear"/>
          <w:lang w:val="pl-PL" w:eastAsia="zh-CN" w:bidi="ar-SA"/>
        </w:rPr>
        <w:t>110</w:t>
      </w:r>
      <w:r>
        <w:rPr>
          <w:rFonts w:eastAsia="Times New Roman" w:cs="Calibri" w:ascii="ISOCPEUR" w:hAnsi="ISOCPEUR"/>
          <w:b w:val="false"/>
          <w:i w:val="false"/>
          <w:iCs w:val="false"/>
          <w:strike w:val="false"/>
          <w:dstrike w:val="false"/>
          <w:color w:val="000000"/>
          <w:sz w:val="22"/>
          <w:szCs w:val="22"/>
          <w:u w:val="none"/>
          <w:shd w:fill="auto" w:val="clear"/>
          <w:lang w:val="pl-PL" w:eastAsia="zh-CN" w:bidi="ar-SA"/>
        </w:rPr>
        <w:t>x</w:t>
      </w:r>
      <w:r>
        <w:rPr>
          <w:rFonts w:eastAsia="Times New Roman" w:cs="Calibri" w:ascii="ISOCPEUR" w:hAnsi="ISOCPEUR"/>
          <w:b w:val="false"/>
          <w:i w:val="false"/>
          <w:iCs w:val="false"/>
          <w:strike w:val="false"/>
          <w:dstrike w:val="false"/>
          <w:color w:val="000000"/>
          <w:kern w:val="0"/>
          <w:sz w:val="22"/>
          <w:szCs w:val="22"/>
          <w:u w:val="none"/>
          <w:shd w:fill="auto" w:val="clear"/>
          <w:lang w:val="pl-PL" w:eastAsia="zh-CN" w:bidi="ar-SA"/>
        </w:rPr>
        <w:t>6,6</w:t>
      </w:r>
      <w:r>
        <w:rPr>
          <w:rFonts w:eastAsia="Times New Roman" w:cs="Calibri" w:ascii="ISOCPEUR" w:hAnsi="ISOCPEUR"/>
          <w:b w:val="false"/>
          <w:i w:val="false"/>
          <w:iCs w:val="false"/>
          <w:strike w:val="false"/>
          <w:dstrike w:val="false"/>
          <w:color w:val="000000"/>
          <w:sz w:val="22"/>
          <w:szCs w:val="22"/>
          <w:u w:val="none"/>
          <w:shd w:fill="auto" w:val="clear"/>
          <w:lang w:val="pl-PL" w:eastAsia="zh-CN" w:bidi="ar-SA"/>
        </w:rPr>
        <w:t>mm PE100RC SDR1</w:t>
      </w:r>
      <w:r>
        <w:rPr>
          <w:rFonts w:eastAsia="Times New Roman" w:cs="Calibri" w:ascii="ISOCPEUR" w:hAnsi="ISOCPEUR"/>
          <w:b w:val="false"/>
          <w:i w:val="false"/>
          <w:iCs w:val="false"/>
          <w:strike w:val="false"/>
          <w:dstrike w:val="false"/>
          <w:color w:val="000000"/>
          <w:kern w:val="0"/>
          <w:sz w:val="22"/>
          <w:szCs w:val="22"/>
          <w:u w:val="none"/>
          <w:shd w:fill="auto" w:val="clear"/>
          <w:lang w:val="pl-PL" w:eastAsia="zh-CN" w:bidi="ar-SA"/>
        </w:rPr>
        <w:t>7</w:t>
      </w:r>
      <w:r>
        <w:rPr>
          <w:rFonts w:eastAsia="Times New Roman" w:cs="Calibri" w:ascii="ISOCPEUR" w:hAnsi="ISOCPEUR"/>
          <w:b w:val="false"/>
          <w:i w:val="false"/>
          <w:iCs w:val="false"/>
          <w:strike w:val="false"/>
          <w:dstrike w:val="false"/>
          <w:color w:val="000000"/>
          <w:sz w:val="22"/>
          <w:szCs w:val="22"/>
          <w:u w:val="none"/>
          <w:shd w:fill="auto" w:val="clear"/>
          <w:lang w:val="pl-PL" w:eastAsia="zh-CN" w:bidi="ar-SA"/>
        </w:rPr>
        <w:t>, PN1</w:t>
      </w:r>
      <w:r>
        <w:rPr>
          <w:rFonts w:eastAsia="Times New Roman" w:cs="Calibri" w:ascii="ISOCPEUR" w:hAnsi="ISOCPEUR"/>
          <w:b w:val="false"/>
          <w:i w:val="false"/>
          <w:iCs w:val="false"/>
          <w:strike w:val="false"/>
          <w:dstrike w:val="false"/>
          <w:color w:val="000000"/>
          <w:kern w:val="0"/>
          <w:sz w:val="22"/>
          <w:szCs w:val="22"/>
          <w:u w:val="none"/>
          <w:shd w:fill="auto" w:val="clear"/>
          <w:lang w:val="pl-PL" w:eastAsia="zh-CN" w:bidi="ar-SA"/>
        </w:rPr>
        <w:t>0</w:t>
      </w:r>
      <w:r>
        <w:rPr>
          <w:rFonts w:cs="Calibri" w:ascii="ISOCPEUR" w:hAnsi="ISOCPEUR"/>
          <w:i w:val="false"/>
          <w:iCs w:val="false"/>
          <w:color w:val="000000"/>
          <w:sz w:val="22"/>
          <w:szCs w:val="22"/>
          <w:shd w:fill="auto" w:val="clear"/>
          <w:lang w:val="pl-PL" w:eastAsia="zxx" w:bidi="zxx"/>
        </w:rPr>
        <w:t xml:space="preserve">, oraz </w:t>
      </w:r>
      <w:r>
        <w:rPr>
          <w:rFonts w:eastAsia="Times New Roman" w:cs="Calibri" w:ascii="ISOCPEUR" w:hAnsi="ISOCPEUR"/>
          <w:b w:val="false"/>
          <w:i w:val="false"/>
          <w:iCs w:val="false"/>
          <w:strike w:val="false"/>
          <w:dstrike w:val="false"/>
          <w:color w:val="000000"/>
          <w:sz w:val="22"/>
          <w:szCs w:val="22"/>
          <w:u w:val="none"/>
          <w:shd w:fill="auto" w:val="clear"/>
          <w:lang w:val="pl-PL" w:eastAsia="zh-CN" w:bidi="ar-SA"/>
        </w:rPr>
        <w:t xml:space="preserve">dn </w:t>
      </w:r>
      <w:r>
        <w:rPr>
          <w:rFonts w:eastAsia="Times New Roman" w:cs="Calibri" w:ascii="ISOCPEUR" w:hAnsi="ISOCPEUR"/>
          <w:b w:val="false"/>
          <w:i w:val="false"/>
          <w:iCs w:val="false"/>
          <w:strike w:val="false"/>
          <w:dstrike w:val="false"/>
          <w:color w:val="000000"/>
          <w:kern w:val="0"/>
          <w:sz w:val="22"/>
          <w:szCs w:val="22"/>
          <w:u w:val="none"/>
          <w:shd w:fill="auto" w:val="clear"/>
          <w:lang w:val="pl-PL" w:eastAsia="zh-CN" w:bidi="ar-SA"/>
        </w:rPr>
        <w:t>1</w:t>
      </w:r>
      <w:r>
        <w:rPr>
          <w:rFonts w:eastAsia="Times New Roman" w:cs="Calibri" w:ascii="ISOCPEUR" w:hAnsi="ISOCPEUR"/>
          <w:b w:val="false"/>
          <w:i w:val="false"/>
          <w:iCs w:val="false"/>
          <w:strike w:val="false"/>
          <w:dstrike w:val="false"/>
          <w:color w:val="000000"/>
          <w:kern w:val="0"/>
          <w:sz w:val="22"/>
          <w:szCs w:val="22"/>
          <w:u w:val="none"/>
          <w:shd w:fill="auto" w:val="clear"/>
          <w:lang w:val="pl-PL" w:eastAsia="zh-CN" w:bidi="ar-SA"/>
        </w:rPr>
        <w:t>60</w:t>
      </w:r>
      <w:r>
        <w:rPr>
          <w:rFonts w:eastAsia="Times New Roman" w:cs="Calibri" w:ascii="ISOCPEUR" w:hAnsi="ISOCPEUR"/>
          <w:b w:val="false"/>
          <w:i w:val="false"/>
          <w:iCs w:val="false"/>
          <w:strike w:val="false"/>
          <w:dstrike w:val="false"/>
          <w:color w:val="000000"/>
          <w:sz w:val="22"/>
          <w:szCs w:val="22"/>
          <w:u w:val="none"/>
          <w:shd w:fill="auto" w:val="clear"/>
          <w:lang w:val="pl-PL" w:eastAsia="zh-CN" w:bidi="ar-SA"/>
        </w:rPr>
        <w:t>x</w:t>
      </w:r>
      <w:r>
        <w:rPr>
          <w:rFonts w:eastAsia="Times New Roman" w:cs="Calibri" w:ascii="ISOCPEUR" w:hAnsi="ISOCPEUR"/>
          <w:b w:val="false"/>
          <w:i w:val="false"/>
          <w:iCs w:val="false"/>
          <w:strike w:val="false"/>
          <w:dstrike w:val="false"/>
          <w:color w:val="000000"/>
          <w:kern w:val="0"/>
          <w:sz w:val="22"/>
          <w:szCs w:val="22"/>
          <w:u w:val="none"/>
          <w:shd w:fill="auto" w:val="clear"/>
          <w:lang w:val="pl-PL" w:eastAsia="zh-CN" w:bidi="ar-SA"/>
        </w:rPr>
        <w:t>9,5</w:t>
      </w:r>
      <w:r>
        <w:rPr>
          <w:rFonts w:eastAsia="Times New Roman" w:cs="Calibri" w:ascii="ISOCPEUR" w:hAnsi="ISOCPEUR"/>
          <w:b w:val="false"/>
          <w:i w:val="false"/>
          <w:iCs w:val="false"/>
          <w:strike w:val="false"/>
          <w:dstrike w:val="false"/>
          <w:color w:val="000000"/>
          <w:sz w:val="22"/>
          <w:szCs w:val="22"/>
          <w:u w:val="none"/>
          <w:shd w:fill="auto" w:val="clear"/>
          <w:lang w:val="pl-PL" w:eastAsia="zh-CN" w:bidi="ar-SA"/>
        </w:rPr>
        <w:t>mm PE100RC SDR1</w:t>
      </w:r>
      <w:r>
        <w:rPr>
          <w:rFonts w:eastAsia="Times New Roman" w:cs="Calibri" w:ascii="ISOCPEUR" w:hAnsi="ISOCPEUR"/>
          <w:b w:val="false"/>
          <w:i w:val="false"/>
          <w:iCs w:val="false"/>
          <w:strike w:val="false"/>
          <w:dstrike w:val="false"/>
          <w:color w:val="000000"/>
          <w:kern w:val="0"/>
          <w:sz w:val="22"/>
          <w:szCs w:val="22"/>
          <w:u w:val="none"/>
          <w:shd w:fill="auto" w:val="clear"/>
          <w:lang w:val="pl-PL" w:eastAsia="zh-CN" w:bidi="ar-SA"/>
        </w:rPr>
        <w:t>7</w:t>
      </w:r>
      <w:r>
        <w:rPr>
          <w:rFonts w:eastAsia="Times New Roman" w:cs="Calibri" w:ascii="ISOCPEUR" w:hAnsi="ISOCPEUR"/>
          <w:b w:val="false"/>
          <w:i w:val="false"/>
          <w:iCs w:val="false"/>
          <w:strike w:val="false"/>
          <w:dstrike w:val="false"/>
          <w:color w:val="000000"/>
          <w:sz w:val="22"/>
          <w:szCs w:val="22"/>
          <w:u w:val="none"/>
          <w:shd w:fill="auto" w:val="clear"/>
          <w:lang w:val="pl-PL" w:eastAsia="zh-CN" w:bidi="ar-SA"/>
        </w:rPr>
        <w:t>, PN1</w:t>
      </w:r>
      <w:r>
        <w:rPr>
          <w:rFonts w:eastAsia="Times New Roman" w:cs="Calibri" w:ascii="ISOCPEUR" w:hAnsi="ISOCPEUR"/>
          <w:b w:val="false"/>
          <w:i w:val="false"/>
          <w:iCs w:val="false"/>
          <w:strike w:val="false"/>
          <w:dstrike w:val="false"/>
          <w:color w:val="000000"/>
          <w:kern w:val="0"/>
          <w:sz w:val="22"/>
          <w:szCs w:val="22"/>
          <w:u w:val="none"/>
          <w:shd w:fill="auto" w:val="clear"/>
          <w:lang w:val="pl-PL" w:eastAsia="zh-CN" w:bidi="ar-SA"/>
        </w:rPr>
        <w:t xml:space="preserve">0 </w:t>
      </w:r>
      <w:r>
        <w:rPr>
          <w:rFonts w:cs="Calibri" w:ascii="ISOCPEUR" w:hAnsi="ISOCPEUR"/>
          <w:i w:val="false"/>
          <w:iCs w:val="false"/>
          <w:color w:val="000000"/>
          <w:sz w:val="22"/>
          <w:szCs w:val="22"/>
          <w:shd w:fill="auto" w:val="clear"/>
          <w:lang w:val="pl-PL" w:eastAsia="zxx" w:bidi="zxx"/>
        </w:rPr>
        <w:t xml:space="preserve">łączonych przez zgrzewanie doczołowe. </w:t>
      </w:r>
      <w:r>
        <w:rPr>
          <w:rFonts w:eastAsia="Arial" w:cs="Calibri" w:ascii="ISOCPEUR" w:hAnsi="ISOCPEUR"/>
          <w:i w:val="false"/>
          <w:iCs w:val="false"/>
          <w:color w:val="000000"/>
          <w:sz w:val="22"/>
          <w:szCs w:val="22"/>
          <w:shd w:fill="auto" w:val="clear"/>
          <w:lang w:val="pl-PL" w:eastAsia="zxx" w:bidi="zxx"/>
        </w:rPr>
        <w:t>Typy rur wg PAS 1075:2009-4: metoda tradycyjna z wymianą gruntu typ 2. Zgodność wyrobu gotowego rur z PAS 1075:2009-4, potwierdzona przez niezależny instytut.</w:t>
      </w:r>
    </w:p>
    <w:p>
      <w:pPr>
        <w:pStyle w:val="Normal"/>
        <w:suppressAutoHyphens w:val="true"/>
        <w:bidi w:val="0"/>
        <w:spacing w:lineRule="auto" w:line="360"/>
        <w:jc w:val="both"/>
        <w:rPr>
          <w:rFonts w:ascii="ISOCPEUR" w:hAnsi="ISOCPEUR"/>
        </w:rPr>
      </w:pPr>
      <w:r>
        <w:rPr>
          <w:rFonts w:cs="Calibri" w:ascii="ISOCPEUR" w:hAnsi="ISOCPEUR"/>
          <w:i w:val="false"/>
          <w:iCs w:val="false"/>
          <w:color w:val="000000"/>
          <w:sz w:val="22"/>
          <w:szCs w:val="22"/>
          <w:shd w:fill="auto" w:val="clear"/>
          <w:lang w:val="pl-PL" w:eastAsia="zxx" w:bidi="zxx"/>
        </w:rPr>
        <w:tab/>
        <w:t>Rury i kształtki, z których wykonywane są przewody wodociągowe powinny posiadać dopuszczenia do stosowania dla wody pitnej. Dostarczona partia rur powinna posiadać świadectwo producenta o zgodności wykonania z przedmiotowymi normami. W miejscach złączy wykonać dołki montażowe o głębokości 10 cm dla umożliwienia prawidłowego wykonania złącza. Układanie przewodów prowadzić w temperaturze wyższej niż 5</w:t>
      </w:r>
      <w:r>
        <w:rPr>
          <w:rFonts w:cs="Calibri" w:ascii="ISOCPEUR" w:hAnsi="ISOCPEUR"/>
          <w:i w:val="false"/>
          <w:iCs w:val="false"/>
          <w:color w:val="000000"/>
          <w:sz w:val="22"/>
          <w:szCs w:val="22"/>
          <w:shd w:fill="auto" w:val="clear"/>
          <w:vertAlign w:val="superscript"/>
          <w:lang w:val="pl-PL" w:eastAsia="zxx" w:bidi="zxx"/>
        </w:rPr>
        <w:t>◦</w:t>
      </w:r>
      <w:r>
        <w:rPr>
          <w:rFonts w:cs="Calibri" w:ascii="ISOCPEUR" w:hAnsi="ISOCPEUR"/>
          <w:i w:val="false"/>
          <w:iCs w:val="false"/>
          <w:color w:val="000000"/>
          <w:sz w:val="22"/>
          <w:szCs w:val="22"/>
          <w:shd w:fill="auto" w:val="clear"/>
          <w:lang w:val="pl-PL" w:eastAsia="zxx" w:bidi="zxx"/>
        </w:rPr>
        <w:t>C. Przewody układać na uprzednio przygotowanym podłożu. Montaż i układanie przewodów wykonać zgodnie z Instrukcją montażową opracowaną przez producentów systemów.</w:t>
        <w:tab/>
        <w:t>W przypadku przykrycia przewodu wodociągowego poniżej 160 cm, przewód należy docieplić keramzytem gr. min. 30 cm oraz zabezpieczyć folią PE.</w:t>
      </w:r>
    </w:p>
    <w:p>
      <w:pPr>
        <w:pStyle w:val="Normal"/>
        <w:suppressAutoHyphens w:val="true"/>
        <w:bidi w:val="0"/>
        <w:spacing w:lineRule="auto" w:line="360"/>
        <w:jc w:val="both"/>
        <w:rPr>
          <w:rFonts w:ascii="ISOCPEUR" w:hAnsi="ISOCPEUR"/>
        </w:rPr>
      </w:pPr>
      <w:r>
        <w:rPr>
          <w:rFonts w:cs="Calibri" w:ascii="ISOCPEUR" w:hAnsi="ISOCPEUR"/>
          <w:i w:val="false"/>
          <w:iCs w:val="false"/>
          <w:color w:val="000000"/>
          <w:sz w:val="22"/>
          <w:szCs w:val="22"/>
          <w:shd w:fill="auto" w:val="clear"/>
          <w:lang w:val="pl-PL" w:eastAsia="zxx" w:bidi="zxx"/>
        </w:rPr>
        <w:t>Lokalizacja przewodów wodociągowych zgodna z częścią graficzną opracowania – Rys. S-0</w:t>
      </w:r>
      <w:r>
        <w:rPr>
          <w:rFonts w:eastAsia="Segoe UI" w:cs="Calibri" w:ascii="ISOCPEUR" w:hAnsi="ISOCPEUR"/>
          <w:i w:val="false"/>
          <w:iCs w:val="false"/>
          <w:color w:val="000000"/>
          <w:kern w:val="0"/>
          <w:sz w:val="22"/>
          <w:szCs w:val="22"/>
          <w:shd w:fill="auto" w:val="clear"/>
          <w:lang w:val="pl-PL" w:eastAsia="zxx" w:bidi="zxx"/>
        </w:rPr>
        <w:t>1</w:t>
      </w:r>
      <w:r>
        <w:rPr>
          <w:rFonts w:cs="Calibri" w:ascii="ISOCPEUR" w:hAnsi="ISOCPEUR"/>
          <w:i w:val="false"/>
          <w:iCs w:val="false"/>
          <w:color w:val="000000"/>
          <w:sz w:val="22"/>
          <w:szCs w:val="22"/>
          <w:shd w:fill="auto" w:val="clear"/>
          <w:lang w:val="pl-PL" w:eastAsia="zxx" w:bidi="zxx"/>
        </w:rPr>
        <w:t xml:space="preserve"> Plan Sytuacyjny. Przewody prowadzić przy zagłębieniu 1,6m poniżej poziomu terenu projektowanego i istniejącego.</w:t>
      </w:r>
    </w:p>
    <w:p>
      <w:pPr>
        <w:pStyle w:val="Normal"/>
        <w:suppressAutoHyphens w:val="true"/>
        <w:bidi w:val="0"/>
        <w:spacing w:lineRule="auto" w:line="360" w:before="0" w:after="0"/>
        <w:jc w:val="both"/>
        <w:rPr>
          <w:rFonts w:ascii="ISOCPEUR" w:hAnsi="ISOCPEUR"/>
        </w:rPr>
      </w:pPr>
      <w:r>
        <w:rPr>
          <w:rFonts w:eastAsia="Segoe UI" w:cs="Calibri" w:ascii="ISOCPEUR" w:hAnsi="ISOCPEUR"/>
          <w:b/>
          <w:bCs/>
          <w:i w:val="false"/>
          <w:iCs w:val="false"/>
          <w:color w:val="auto"/>
          <w:kern w:val="0"/>
          <w:sz w:val="22"/>
          <w:szCs w:val="22"/>
          <w:u w:val="none"/>
          <w:lang w:val="pl-PL" w:eastAsia="en-US" w:bidi="ar-SA"/>
        </w:rPr>
        <w:t>ARMATURA</w:t>
      </w:r>
    </w:p>
    <w:p>
      <w:pPr>
        <w:pStyle w:val="Normal"/>
        <w:suppressAutoHyphens w:val="true"/>
        <w:bidi w:val="0"/>
        <w:spacing w:lineRule="auto" w:line="360" w:before="0" w:after="0"/>
        <w:jc w:val="both"/>
        <w:rPr>
          <w:rFonts w:ascii="ISOCPEUR" w:hAnsi="ISOCPEUR"/>
        </w:rPr>
      </w:pPr>
      <w:r>
        <w:rPr>
          <w:rFonts w:eastAsia="Segoe UI" w:cs="Calibri" w:ascii="ISOCPEUR" w:hAnsi="ISOCPEUR"/>
          <w:i w:val="false"/>
          <w:iCs w:val="false"/>
          <w:color w:val="000000"/>
          <w:kern w:val="0"/>
          <w:sz w:val="22"/>
          <w:szCs w:val="22"/>
          <w:shd w:fill="auto" w:val="clear"/>
          <w:lang w:val="pl-PL" w:eastAsia="zxx" w:bidi="zxx"/>
        </w:rPr>
        <w:t xml:space="preserve">Stosować </w:t>
      </w:r>
      <w:r>
        <w:rPr>
          <w:rFonts w:cs="Calibri" w:ascii="ISOCPEUR" w:hAnsi="ISOCPEUR"/>
          <w:i w:val="false"/>
          <w:iCs w:val="false"/>
          <w:color w:val="000000"/>
          <w:sz w:val="22"/>
          <w:szCs w:val="22"/>
          <w:shd w:fill="auto" w:val="clear"/>
          <w:lang w:val="pl-PL" w:eastAsia="zxx" w:bidi="zxx"/>
        </w:rPr>
        <w:t>zasuwy odcinające kołnierzowe klinowe z żeliwa sferoidalnego w zabudowie długiej o średnicach – DN100 oraz DN1</w:t>
      </w:r>
      <w:r>
        <w:rPr>
          <w:rFonts w:eastAsia="Segoe UI" w:cs="Calibri" w:ascii="ISOCPEUR" w:hAnsi="ISOCPEUR"/>
          <w:i w:val="false"/>
          <w:iCs w:val="false"/>
          <w:color w:val="000000"/>
          <w:kern w:val="0"/>
          <w:sz w:val="22"/>
          <w:szCs w:val="22"/>
          <w:shd w:fill="auto" w:val="clear"/>
          <w:lang w:val="pl-PL" w:eastAsia="zxx" w:bidi="zxx"/>
        </w:rPr>
        <w:t>50</w:t>
      </w:r>
      <w:r>
        <w:rPr>
          <w:rFonts w:cs="Calibri" w:ascii="ISOCPEUR" w:hAnsi="ISOCPEUR"/>
          <w:i w:val="false"/>
          <w:iCs w:val="false"/>
          <w:color w:val="000000"/>
          <w:sz w:val="22"/>
          <w:szCs w:val="22"/>
          <w:shd w:fill="auto" w:val="clear"/>
          <w:lang w:val="pl-PL" w:eastAsia="zxx" w:bidi="zxx"/>
        </w:rPr>
        <w:t>mm.</w:t>
      </w:r>
      <w:r>
        <w:rPr>
          <w:rFonts w:eastAsia="Arial" w:cs="Calibri" w:ascii="ISOCPEUR" w:hAnsi="ISOCPEUR"/>
          <w:b w:val="false"/>
          <w:bCs/>
          <w:i w:val="false"/>
          <w:iCs w:val="false"/>
          <w:strike w:val="false"/>
          <w:dstrike w:val="false"/>
          <w:color w:val="000000"/>
          <w:sz w:val="22"/>
          <w:szCs w:val="22"/>
          <w:u w:val="none"/>
          <w:shd w:fill="auto" w:val="clear"/>
          <w:lang w:val="pl-PL" w:eastAsia="zxx" w:bidi="zxx"/>
        </w:rPr>
        <w:t xml:space="preserve"> Trzpień zasuwy wyprowadzić równo z powierzchnią terenu za pomocą obudowy do zasuw teleskopowej, żeliwna – DN</w:t>
      </w:r>
      <w:r>
        <w:rPr>
          <w:rFonts w:eastAsia="Arial" w:cs="Calibri" w:ascii="ISOCPEUR" w:hAnsi="ISOCPEUR"/>
          <w:b w:val="false"/>
          <w:bCs/>
          <w:i w:val="false"/>
          <w:iCs w:val="false"/>
          <w:strike w:val="false"/>
          <w:dstrike w:val="false"/>
          <w:color w:val="000000"/>
          <w:kern w:val="0"/>
          <w:sz w:val="22"/>
          <w:szCs w:val="22"/>
          <w:u w:val="none"/>
          <w:shd w:fill="auto" w:val="clear"/>
          <w:lang w:val="pl-PL" w:eastAsia="zxx" w:bidi="zxx"/>
        </w:rPr>
        <w:t>10</w:t>
      </w:r>
      <w:r>
        <w:rPr>
          <w:rFonts w:eastAsia="Arial" w:cs="Calibri" w:ascii="ISOCPEUR" w:hAnsi="ISOCPEUR"/>
          <w:b w:val="false"/>
          <w:bCs/>
          <w:i w:val="false"/>
          <w:iCs w:val="false"/>
          <w:strike w:val="false"/>
          <w:dstrike w:val="false"/>
          <w:color w:val="000000"/>
          <w:sz w:val="22"/>
          <w:szCs w:val="22"/>
          <w:u w:val="none"/>
          <w:shd w:fill="auto" w:val="clear"/>
          <w:lang w:val="pl-PL" w:eastAsia="zxx" w:bidi="zxx"/>
        </w:rPr>
        <w:t>0 lub DN1</w:t>
      </w:r>
      <w:r>
        <w:rPr>
          <w:rFonts w:eastAsia="Arial" w:cs="Calibri" w:ascii="ISOCPEUR" w:hAnsi="ISOCPEUR"/>
          <w:b w:val="false"/>
          <w:bCs/>
          <w:i w:val="false"/>
          <w:iCs w:val="false"/>
          <w:strike w:val="false"/>
          <w:dstrike w:val="false"/>
          <w:color w:val="000000"/>
          <w:kern w:val="0"/>
          <w:sz w:val="22"/>
          <w:szCs w:val="22"/>
          <w:u w:val="none"/>
          <w:shd w:fill="auto" w:val="clear"/>
          <w:lang w:val="pl-PL" w:eastAsia="zxx" w:bidi="zxx"/>
        </w:rPr>
        <w:t>50</w:t>
      </w:r>
      <w:r>
        <w:rPr>
          <w:rFonts w:eastAsia="Arial" w:cs="Calibri" w:ascii="ISOCPEUR" w:hAnsi="ISOCPEUR"/>
          <w:b w:val="false"/>
          <w:bCs/>
          <w:i w:val="false"/>
          <w:iCs w:val="false"/>
          <w:strike w:val="false"/>
          <w:dstrike w:val="false"/>
          <w:color w:val="000000"/>
          <w:sz w:val="22"/>
          <w:szCs w:val="22"/>
          <w:u w:val="none"/>
          <w:shd w:fill="auto" w:val="clear"/>
          <w:lang w:val="pl-PL" w:eastAsia="zxx" w:bidi="zxx"/>
        </w:rPr>
        <w:t xml:space="preserve"> i umieścić w skrzynce ulicznej żeliwnej do zasuw. Połączenie zasuwy z projektowanym </w:t>
      </w:r>
      <w:r>
        <w:rPr>
          <w:rFonts w:eastAsia="Arial" w:cs="Calibri" w:ascii="ISOCPEUR" w:hAnsi="ISOCPEUR"/>
          <w:b w:val="false"/>
          <w:bCs/>
          <w:i w:val="false"/>
          <w:iCs w:val="false"/>
          <w:strike w:val="false"/>
          <w:dstrike w:val="false"/>
          <w:color w:val="000000"/>
          <w:kern w:val="0"/>
          <w:sz w:val="22"/>
          <w:szCs w:val="22"/>
          <w:u w:val="none"/>
          <w:shd w:fill="auto" w:val="clear"/>
          <w:lang w:val="pl-PL" w:eastAsia="zxx" w:bidi="zxx"/>
        </w:rPr>
        <w:t>przewodem wodociągowym</w:t>
      </w:r>
      <w:r>
        <w:rPr>
          <w:rFonts w:eastAsia="Arial" w:cs="Calibri" w:ascii="ISOCPEUR" w:hAnsi="ISOCPEUR"/>
          <w:b w:val="false"/>
          <w:bCs/>
          <w:i w:val="false"/>
          <w:iCs w:val="false"/>
          <w:strike w:val="false"/>
          <w:dstrike w:val="false"/>
          <w:color w:val="000000"/>
          <w:sz w:val="22"/>
          <w:szCs w:val="22"/>
          <w:u w:val="none"/>
          <w:shd w:fill="auto" w:val="clear"/>
          <w:lang w:val="pl-PL" w:eastAsia="zxx" w:bidi="zxx"/>
        </w:rPr>
        <w:t xml:space="preserve"> za pomocą </w:t>
      </w:r>
      <w:r>
        <w:rPr>
          <w:rFonts w:eastAsia="Arial" w:cs="Calibri" w:ascii="ISOCPEUR" w:hAnsi="ISOCPEUR"/>
          <w:b w:val="false"/>
          <w:bCs/>
          <w:i w:val="false"/>
          <w:iCs w:val="false"/>
          <w:strike w:val="false"/>
          <w:dstrike w:val="false"/>
          <w:color w:val="000000"/>
          <w:position w:val="0"/>
          <w:sz w:val="22"/>
          <w:sz w:val="22"/>
          <w:szCs w:val="22"/>
          <w:u w:val="none"/>
          <w:shd w:fill="auto" w:val="clear"/>
          <w:vertAlign w:val="baseline"/>
          <w:lang w:val="pl-PL" w:eastAsia="zxx" w:bidi="zxx"/>
        </w:rPr>
        <w:t>kołnierza specjalnego z żeliwa sferoidalnego, z kielichem wciskowym do połączenia wytrzymałego na rozciąganie z rurami PE – DN</w:t>
      </w:r>
      <w:r>
        <w:rPr>
          <w:rFonts w:eastAsia="Arial" w:cs="Calibri" w:ascii="ISOCPEUR" w:hAnsi="ISOCPEUR"/>
          <w:b w:val="false"/>
          <w:bCs/>
          <w:i w:val="false"/>
          <w:iCs w:val="false"/>
          <w:strike w:val="false"/>
          <w:dstrike w:val="false"/>
          <w:color w:val="000000"/>
          <w:kern w:val="0"/>
          <w:position w:val="0"/>
          <w:sz w:val="22"/>
          <w:sz w:val="22"/>
          <w:szCs w:val="22"/>
          <w:u w:val="none"/>
          <w:shd w:fill="auto" w:val="clear"/>
          <w:vertAlign w:val="baseline"/>
          <w:lang w:val="pl-PL" w:eastAsia="zxx" w:bidi="zxx"/>
        </w:rPr>
        <w:t>10</w:t>
      </w:r>
      <w:r>
        <w:rPr>
          <w:rFonts w:eastAsia="Arial" w:cs="Calibri" w:ascii="ISOCPEUR" w:hAnsi="ISOCPEUR"/>
          <w:b w:val="false"/>
          <w:bCs/>
          <w:i w:val="false"/>
          <w:iCs w:val="false"/>
          <w:strike w:val="false"/>
          <w:dstrike w:val="false"/>
          <w:color w:val="000000"/>
          <w:position w:val="0"/>
          <w:sz w:val="22"/>
          <w:sz w:val="22"/>
          <w:szCs w:val="22"/>
          <w:u w:val="none"/>
          <w:shd w:fill="auto" w:val="clear"/>
          <w:vertAlign w:val="baseline"/>
          <w:lang w:val="pl-PL" w:eastAsia="zxx" w:bidi="zxx"/>
        </w:rPr>
        <w:t xml:space="preserve">0/∅110 (kołnierz/rura PE). </w:t>
      </w:r>
      <w:r>
        <w:rPr>
          <w:rFonts w:eastAsia="Arial" w:cs="Calibri" w:ascii="ISOCPEUR" w:hAnsi="ISOCPEUR"/>
          <w:b w:val="false"/>
          <w:bCs/>
          <w:i w:val="false"/>
          <w:iCs w:val="false"/>
          <w:strike w:val="false"/>
          <w:dstrike w:val="false"/>
          <w:color w:val="000000"/>
          <w:kern w:val="2"/>
          <w:position w:val="0"/>
          <w:sz w:val="22"/>
          <w:sz w:val="22"/>
          <w:szCs w:val="22"/>
          <w:u w:val="none"/>
          <w:shd w:fill="auto" w:val="clear"/>
          <w:vertAlign w:val="baseline"/>
          <w:lang w:val="pl-PL" w:eastAsia="zxx" w:bidi="zxx"/>
        </w:rPr>
        <w:t xml:space="preserve">Pod </w:t>
      </w:r>
      <w:r>
        <w:rPr>
          <w:rFonts w:eastAsia="Arial" w:cs="Calibri" w:ascii="ISOCPEUR" w:hAnsi="ISOCPEUR"/>
          <w:b w:val="false"/>
          <w:bCs/>
          <w:i w:val="false"/>
          <w:iCs w:val="false"/>
          <w:strike w:val="false"/>
          <w:dstrike w:val="false"/>
          <w:color w:val="000000"/>
          <w:kern w:val="2"/>
          <w:position w:val="0"/>
          <w:sz w:val="22"/>
          <w:sz w:val="22"/>
          <w:szCs w:val="22"/>
          <w:u w:val="none"/>
          <w:shd w:fill="auto" w:val="clear"/>
          <w:vertAlign w:val="baseline"/>
          <w:lang w:val="pl-PL" w:eastAsia="zxx" w:bidi="zxx"/>
        </w:rPr>
        <w:t xml:space="preserve">każdą </w:t>
      </w:r>
      <w:r>
        <w:rPr>
          <w:rFonts w:eastAsia="Arial" w:cs="Calibri" w:ascii="ISOCPEUR" w:hAnsi="ISOCPEUR"/>
          <w:b w:val="false"/>
          <w:bCs/>
          <w:i w:val="false"/>
          <w:iCs w:val="false"/>
          <w:strike w:val="false"/>
          <w:dstrike w:val="false"/>
          <w:color w:val="000000"/>
          <w:kern w:val="2"/>
          <w:position w:val="0"/>
          <w:sz w:val="22"/>
          <w:sz w:val="22"/>
          <w:szCs w:val="22"/>
          <w:u w:val="none"/>
          <w:shd w:fill="auto" w:val="clear"/>
          <w:vertAlign w:val="baseline"/>
          <w:lang w:val="pl-PL" w:eastAsia="zxx" w:bidi="zxx"/>
        </w:rPr>
        <w:t>zasuwą należy zastosować blok podporowy.</w:t>
      </w:r>
    </w:p>
    <w:p>
      <w:pPr>
        <w:pStyle w:val="Normal"/>
        <w:suppressAutoHyphens w:val="true"/>
        <w:bidi w:val="0"/>
        <w:spacing w:lineRule="auto" w:line="360" w:before="0" w:after="0"/>
        <w:ind w:left="0" w:right="0" w:hanging="0"/>
        <w:jc w:val="both"/>
        <w:rPr>
          <w:rFonts w:ascii="ISOCPEUR" w:hAnsi="ISOCPEUR"/>
        </w:rPr>
      </w:pPr>
      <w:r>
        <w:rPr>
          <w:rFonts w:eastAsia="Arial" w:cs="Calibri" w:ascii="ISOCPEUR" w:hAnsi="ISOCPEUR"/>
          <w:b w:val="false"/>
          <w:bCs/>
          <w:i w:val="false"/>
          <w:iCs w:val="false"/>
          <w:strike w:val="false"/>
          <w:dstrike w:val="false"/>
          <w:color w:val="000000"/>
          <w:kern w:val="2"/>
          <w:position w:val="0"/>
          <w:sz w:val="22"/>
          <w:sz w:val="22"/>
          <w:szCs w:val="22"/>
          <w:u w:val="none"/>
          <w:shd w:fill="auto" w:val="clear"/>
          <w:vertAlign w:val="baseline"/>
          <w:lang w:val="pl-PL" w:eastAsia="zxx" w:bidi="zxx"/>
        </w:rPr>
        <w:t>Przejście przewodu wodociągowego w1</w:t>
      </w:r>
      <w:r>
        <w:rPr>
          <w:rFonts w:eastAsia="Arial" w:cs="Calibri" w:ascii="ISOCPEUR" w:hAnsi="ISOCPEUR"/>
          <w:b w:val="false"/>
          <w:bCs/>
          <w:i w:val="false"/>
          <w:iCs w:val="false"/>
          <w:strike w:val="false"/>
          <w:dstrike w:val="false"/>
          <w:color w:val="000000"/>
          <w:kern w:val="2"/>
          <w:position w:val="0"/>
          <w:sz w:val="22"/>
          <w:sz w:val="22"/>
          <w:szCs w:val="22"/>
          <w:u w:val="none"/>
          <w:shd w:fill="auto" w:val="clear"/>
          <w:vertAlign w:val="baseline"/>
          <w:lang w:val="pl-PL" w:eastAsia="zxx" w:bidi="zxx"/>
        </w:rPr>
        <w:t>60</w:t>
      </w:r>
      <w:r>
        <w:rPr>
          <w:rFonts w:eastAsia="Arial" w:cs="Calibri" w:ascii="ISOCPEUR" w:hAnsi="ISOCPEUR"/>
          <w:b w:val="false"/>
          <w:bCs/>
          <w:i w:val="false"/>
          <w:iCs w:val="false"/>
          <w:strike w:val="false"/>
          <w:dstrike w:val="false"/>
          <w:color w:val="000000"/>
          <w:kern w:val="2"/>
          <w:position w:val="0"/>
          <w:sz w:val="22"/>
          <w:sz w:val="22"/>
          <w:szCs w:val="22"/>
          <w:u w:val="none"/>
          <w:shd w:fill="auto" w:val="clear"/>
          <w:vertAlign w:val="baseline"/>
          <w:lang w:val="pl-PL" w:eastAsia="zxx" w:bidi="zxx"/>
        </w:rPr>
        <w:t xml:space="preserve">, w110 </w:t>
      </w:r>
      <w:r>
        <w:rPr>
          <w:rFonts w:eastAsia="Arial" w:cs="Calibri" w:ascii="ISOCPEUR" w:hAnsi="ISOCPEUR"/>
          <w:b w:val="false"/>
          <w:bCs/>
          <w:i w:val="false"/>
          <w:iCs w:val="false"/>
          <w:strike w:val="false"/>
          <w:dstrike w:val="false"/>
          <w:color w:val="000000"/>
          <w:kern w:val="2"/>
          <w:position w:val="0"/>
          <w:sz w:val="22"/>
          <w:sz w:val="22"/>
          <w:szCs w:val="22"/>
          <w:u w:val="none"/>
          <w:shd w:fill="auto" w:val="clear"/>
          <w:vertAlign w:val="baseline"/>
          <w:lang w:val="pl-PL" w:eastAsia="zxx" w:bidi="zxx"/>
        </w:rPr>
        <w:t>pod fundamentem projektowanego</w:t>
      </w:r>
      <w:r>
        <w:rPr>
          <w:rFonts w:eastAsia="Arial" w:cs="Calibri" w:ascii="ISOCPEUR" w:hAnsi="ISOCPEUR"/>
          <w:b w:val="false"/>
          <w:bCs/>
          <w:i w:val="false"/>
          <w:iCs w:val="false"/>
          <w:strike w:val="false"/>
          <w:dstrike w:val="false"/>
          <w:color w:val="000000"/>
          <w:kern w:val="2"/>
          <w:position w:val="0"/>
          <w:sz w:val="22"/>
          <w:sz w:val="22"/>
          <w:szCs w:val="22"/>
          <w:u w:val="none"/>
          <w:shd w:fill="auto" w:val="clear"/>
          <w:vertAlign w:val="baseline"/>
          <w:lang w:val="pl-PL" w:eastAsia="zxx" w:bidi="zxx"/>
        </w:rPr>
        <w:t xml:space="preserve"> budynku </w:t>
      </w:r>
      <w:r>
        <w:rPr>
          <w:rFonts w:eastAsia="Arial" w:cs="Calibri" w:ascii="ISOCPEUR" w:hAnsi="ISOCPEUR"/>
          <w:b w:val="false"/>
          <w:bCs/>
          <w:i w:val="false"/>
          <w:iCs w:val="false"/>
          <w:strike w:val="false"/>
          <w:dstrike w:val="false"/>
          <w:color w:val="000000"/>
          <w:kern w:val="2"/>
          <w:position w:val="0"/>
          <w:sz w:val="22"/>
          <w:sz w:val="22"/>
          <w:szCs w:val="22"/>
          <w:u w:val="none"/>
          <w:shd w:fill="auto" w:val="clear"/>
          <w:vertAlign w:val="baseline"/>
          <w:lang w:val="pl-PL" w:eastAsia="zxx" w:bidi="zxx"/>
        </w:rPr>
        <w:t>kontenerowego</w:t>
      </w:r>
      <w:r>
        <w:rPr>
          <w:rFonts w:eastAsia="Arial" w:cs="Calibri" w:ascii="ISOCPEUR" w:hAnsi="ISOCPEUR"/>
          <w:b w:val="false"/>
          <w:bCs/>
          <w:i w:val="false"/>
          <w:iCs w:val="false"/>
          <w:strike w:val="false"/>
          <w:dstrike w:val="false"/>
          <w:color w:val="000000"/>
          <w:kern w:val="2"/>
          <w:position w:val="0"/>
          <w:sz w:val="22"/>
          <w:sz w:val="22"/>
          <w:szCs w:val="22"/>
          <w:u w:val="none"/>
          <w:shd w:fill="auto" w:val="clear"/>
          <w:vertAlign w:val="baseline"/>
          <w:lang w:val="pl-PL" w:eastAsia="zxx" w:bidi="zxx"/>
        </w:rPr>
        <w:t xml:space="preserve"> za pomocą przejścia szczelnego systemowego. W pomieszczeniu </w:t>
      </w:r>
      <w:r>
        <w:rPr>
          <w:rFonts w:eastAsia="Arial" w:cs="Calibri" w:ascii="ISOCPEUR" w:hAnsi="ISOCPEUR"/>
          <w:b w:val="false"/>
          <w:bCs/>
          <w:i w:val="false"/>
          <w:iCs w:val="false"/>
          <w:strike w:val="false"/>
          <w:dstrike w:val="false"/>
          <w:color w:val="000000"/>
          <w:kern w:val="2"/>
          <w:position w:val="0"/>
          <w:sz w:val="22"/>
          <w:sz w:val="22"/>
          <w:szCs w:val="22"/>
          <w:u w:val="none"/>
          <w:shd w:fill="auto" w:val="clear"/>
          <w:vertAlign w:val="baseline"/>
          <w:lang w:val="pl-PL" w:eastAsia="zxx" w:bidi="zxx"/>
        </w:rPr>
        <w:t>hydroforni</w:t>
      </w:r>
      <w:r>
        <w:rPr>
          <w:rFonts w:eastAsia="Arial" w:cs="Calibri" w:ascii="ISOCPEUR" w:hAnsi="ISOCPEUR"/>
          <w:b w:val="false"/>
          <w:bCs/>
          <w:i w:val="false"/>
          <w:iCs w:val="false"/>
          <w:strike w:val="false"/>
          <w:dstrike w:val="false"/>
          <w:color w:val="000000"/>
          <w:kern w:val="2"/>
          <w:position w:val="0"/>
          <w:sz w:val="22"/>
          <w:sz w:val="22"/>
          <w:szCs w:val="22"/>
          <w:u w:val="none"/>
          <w:shd w:fill="auto" w:val="clear"/>
          <w:vertAlign w:val="baseline"/>
          <w:lang w:val="pl-PL" w:eastAsia="zxx" w:bidi="zxx"/>
        </w:rPr>
        <w:t>, piony przewodów wodociągowych dn1</w:t>
      </w:r>
      <w:r>
        <w:rPr>
          <w:rFonts w:eastAsia="Arial" w:cs="Calibri" w:ascii="ISOCPEUR" w:hAnsi="ISOCPEUR"/>
          <w:b w:val="false"/>
          <w:bCs/>
          <w:i w:val="false"/>
          <w:iCs w:val="false"/>
          <w:strike w:val="false"/>
          <w:dstrike w:val="false"/>
          <w:color w:val="000000"/>
          <w:kern w:val="2"/>
          <w:position w:val="0"/>
          <w:sz w:val="22"/>
          <w:sz w:val="22"/>
          <w:szCs w:val="22"/>
          <w:u w:val="none"/>
          <w:shd w:fill="auto" w:val="clear"/>
          <w:vertAlign w:val="baseline"/>
          <w:lang w:val="pl-PL" w:eastAsia="zxx" w:bidi="zxx"/>
        </w:rPr>
        <w:t>60</w:t>
      </w:r>
      <w:r>
        <w:rPr>
          <w:rFonts w:eastAsia="Arial" w:cs="Calibri" w:ascii="ISOCPEUR" w:hAnsi="ISOCPEUR"/>
          <w:b w:val="false"/>
          <w:bCs/>
          <w:i w:val="false"/>
          <w:iCs w:val="false"/>
          <w:strike w:val="false"/>
          <w:dstrike w:val="false"/>
          <w:color w:val="000000"/>
          <w:kern w:val="2"/>
          <w:position w:val="0"/>
          <w:sz w:val="22"/>
          <w:sz w:val="22"/>
          <w:szCs w:val="22"/>
          <w:u w:val="none"/>
          <w:shd w:fill="auto" w:val="clear"/>
          <w:vertAlign w:val="baseline"/>
          <w:lang w:val="pl-PL" w:eastAsia="zxx" w:bidi="zxx"/>
        </w:rPr>
        <w:t>PE, dn110PE należy przymocować do ściany za pomocą typowych obejm.</w:t>
      </w:r>
    </w:p>
    <w:p>
      <w:pPr>
        <w:pStyle w:val="Normal"/>
        <w:spacing w:lineRule="auto" w:line="360"/>
        <w:ind w:left="0" w:right="0" w:hanging="0"/>
        <w:rPr>
          <w:rFonts w:ascii="ISOCPEUR" w:hAnsi="ISOCPEUR"/>
        </w:rPr>
      </w:pPr>
      <w:r>
        <w:rPr>
          <w:rFonts w:ascii="ISOCPEUR" w:hAnsi="ISOCPEUR"/>
        </w:rPr>
      </w:r>
    </w:p>
    <w:p>
      <w:pPr>
        <w:pStyle w:val="Normal"/>
        <w:spacing w:lineRule="auto" w:line="360"/>
        <w:ind w:left="0" w:right="0" w:hanging="0"/>
        <w:rPr>
          <w:rFonts w:ascii="ISOCPEUR" w:hAnsi="ISOCPEUR"/>
        </w:rPr>
      </w:pPr>
      <w:r>
        <w:rPr>
          <w:rFonts w:ascii="ISOCPEUR" w:hAnsi="ISOCPEUR"/>
        </w:rPr>
      </w:r>
    </w:p>
    <w:p>
      <w:pPr>
        <w:pStyle w:val="Normal"/>
        <w:spacing w:lineRule="auto" w:line="360"/>
        <w:ind w:left="0" w:right="0" w:hanging="0"/>
        <w:rPr>
          <w:rFonts w:ascii="ISOCPEUR" w:hAnsi="ISOCPEUR"/>
        </w:rPr>
      </w:pPr>
      <w:r>
        <w:rPr>
          <w:rFonts w:ascii="ISOCPEUR" w:hAnsi="ISOCPEUR"/>
        </w:rPr>
      </w:r>
    </w:p>
    <w:p>
      <w:pPr>
        <w:pStyle w:val="Normal"/>
        <w:suppressAutoHyphens w:val="true"/>
        <w:bidi w:val="0"/>
        <w:spacing w:lineRule="auto" w:line="360"/>
        <w:jc w:val="both"/>
        <w:rPr>
          <w:rFonts w:ascii="ISOCPEUR" w:hAnsi="ISOCPEUR"/>
        </w:rPr>
      </w:pPr>
      <w:r>
        <w:rPr>
          <w:rFonts w:cs="Calibri" w:ascii="ISOCPEUR" w:hAnsi="ISOCPEUR"/>
          <w:b/>
          <w:bCs/>
          <w:i w:val="false"/>
          <w:iCs w:val="false"/>
          <w:color w:val="000000"/>
          <w:sz w:val="22"/>
          <w:szCs w:val="22"/>
          <w:u w:val="none"/>
          <w:shd w:fill="auto" w:val="clear"/>
          <w:lang w:val="pl-PL"/>
        </w:rPr>
        <w:t>Próby szczelności i odbiory wodociągu</w:t>
      </w:r>
    </w:p>
    <w:p>
      <w:pPr>
        <w:pStyle w:val="Normal"/>
        <w:suppressAutoHyphens w:val="true"/>
        <w:bidi w:val="0"/>
        <w:spacing w:lineRule="auto" w:line="360"/>
        <w:jc w:val="both"/>
        <w:rPr>
          <w:rFonts w:ascii="ISOCPEUR" w:hAnsi="ISOCPEUR"/>
        </w:rPr>
      </w:pPr>
      <w:r>
        <w:rPr>
          <w:rFonts w:cs="Calibri" w:ascii="ISOCPEUR" w:hAnsi="ISOCPEUR"/>
          <w:color w:val="000000"/>
          <w:sz w:val="22"/>
          <w:szCs w:val="22"/>
          <w:shd w:fill="auto" w:val="clear"/>
          <w:lang w:val="pl-PL"/>
        </w:rPr>
        <w:t xml:space="preserve">Po wykonaniu odcinków wodociągowych a przed ich zasypaniem, </w:t>
      </w:r>
      <w:r>
        <w:rPr>
          <w:rFonts w:eastAsia="Segoe UI" w:cs="Calibri" w:ascii="ISOCPEUR" w:hAnsi="ISOCPEUR"/>
          <w:color w:val="000000"/>
          <w:kern w:val="0"/>
          <w:sz w:val="22"/>
          <w:szCs w:val="22"/>
          <w:shd w:fill="auto" w:val="clear"/>
          <w:lang w:val="pl-PL" w:eastAsia="en-US" w:bidi="ar-SA"/>
        </w:rPr>
        <w:t>przewody</w:t>
      </w:r>
      <w:r>
        <w:rPr>
          <w:rFonts w:cs="Calibri" w:ascii="ISOCPEUR" w:hAnsi="ISOCPEUR"/>
          <w:color w:val="000000"/>
          <w:sz w:val="22"/>
          <w:szCs w:val="22"/>
          <w:shd w:fill="auto" w:val="clear"/>
          <w:lang w:val="pl-PL"/>
        </w:rPr>
        <w:t xml:space="preserve"> należy poddać próbie szczelności. Przed próbą odcinki napełnić wodą i dokładnie odpowietrzyć. Ciśnienie próbne utrzymywać na poziomie 1,0 MPa, zgodnie z normą PN-EN 2002:805. Wodociągi można uznać za szczelne jeżeli przez okres 30 min ciśnienie utrzyma się na niezmienionym poziomie. Po pozytywnej próbie szczelności, należy dokonać płukania wodociągu używając czystej wody aż do chwili, gdy wypływająca woda będzie bezbarwna i przeźroczysta. Prędkość przepływu wody w przewodach powinna umożliwić usunięcie wszystkich zanieczyszczeń mechanicznych występujących w przewodach. Po przepłukaniu, rurociągi należy poddać dezynfekcji roztworem podchlorynu sodu. Czas trwania dezynfekcji powinien wynosić 48 godziny. Po usunięciu wody zawierającej związki podchlorynu, należy intensywnie przepłukać wodociąg czystą wodą, z prędkością ok. 1 m/s, w ilości 5-krotnej objętości płukanego odcinka. Woda płucząca po zakończeniu płukania powinna być poddana badaniom bakteriologicznym. W przypadku stwierdzenia, że woda nie odpowiada wymaganiom wody do picia pod względem bakteriologicznym, należy przeprowadzić powtórną dezynfekcję przewodów.</w:t>
      </w:r>
    </w:p>
    <w:p>
      <w:pPr>
        <w:pStyle w:val="Normal"/>
        <w:spacing w:lineRule="auto" w:line="360"/>
        <w:ind w:left="0" w:right="0" w:hanging="0"/>
        <w:rPr>
          <w:rFonts w:ascii="ISOCPEUR" w:hAnsi="ISOCPEUR"/>
        </w:rPr>
      </w:pPr>
      <w:r>
        <w:rPr>
          <w:rFonts w:ascii="ISOCPEUR" w:hAnsi="ISOCPEUR"/>
          <w:b/>
          <w:bCs/>
        </w:rPr>
        <w:t>RUROCIĄGI KANALIZACYJNE</w:t>
      </w:r>
    </w:p>
    <w:p>
      <w:pPr>
        <w:pStyle w:val="Tekstpodstawowywcity21"/>
        <w:widowControl/>
        <w:suppressAutoHyphens w:val="true"/>
        <w:bidi w:val="0"/>
        <w:spacing w:lineRule="auto" w:line="360"/>
        <w:ind w:left="0" w:right="0" w:hanging="0"/>
        <w:jc w:val="both"/>
        <w:rPr>
          <w:rFonts w:ascii="ISOCPEUR" w:hAnsi="ISOCPEUR"/>
        </w:rPr>
      </w:pPr>
      <w:r>
        <w:rPr>
          <w:rFonts w:eastAsia="Times New Roman" w:cs="Calibri" w:ascii="ISOCPEUR" w:hAnsi="ISOCPEUR"/>
          <w:b w:val="false"/>
          <w:bCs w:val="false"/>
          <w:color w:val="000000"/>
          <w:kern w:val="2"/>
          <w:sz w:val="22"/>
          <w:szCs w:val="22"/>
          <w:shd w:fill="auto" w:val="clear"/>
          <w:lang w:val="pl-PL" w:eastAsia="zh-CN" w:bidi="ar-SA"/>
        </w:rPr>
        <w:t>Przewody kanalizacji sanitarnej projektuje się z:</w:t>
      </w:r>
    </w:p>
    <w:p>
      <w:pPr>
        <w:pStyle w:val="Tekstpodstawowywcity21"/>
        <w:widowControl/>
        <w:suppressAutoHyphens w:val="true"/>
        <w:bidi w:val="0"/>
        <w:spacing w:lineRule="auto" w:line="360"/>
        <w:ind w:left="850" w:right="0" w:hanging="283"/>
        <w:jc w:val="both"/>
        <w:rPr>
          <w:rFonts w:ascii="ISOCPEUR" w:hAnsi="ISOCPEUR"/>
        </w:rPr>
      </w:pPr>
      <w:r>
        <w:rPr>
          <w:rFonts w:eastAsia="Times New Roman" w:cs="Calibri" w:ascii="ISOCPEUR" w:hAnsi="ISOCPEUR"/>
          <w:b w:val="false"/>
          <w:bCs w:val="false"/>
          <w:color w:val="000000"/>
          <w:kern w:val="2"/>
          <w:sz w:val="22"/>
          <w:szCs w:val="22"/>
          <w:shd w:fill="auto" w:val="clear"/>
          <w:lang w:val="pl-PL" w:eastAsia="zh-CN" w:bidi="ar-SA"/>
        </w:rPr>
        <w:t>- rur dn160 PVC-U lite klasy S (SN 8) kielichowych o ściankach litych, łączenie rur na uszczelki systemowe wargowe – lokalizacja i prowadzenie wysokościowe, zgodne z częścią graficzną opracowania.</w:t>
      </w:r>
    </w:p>
    <w:p>
      <w:pPr>
        <w:pStyle w:val="Tekstpodstawowywcity21"/>
        <w:widowControl/>
        <w:suppressAutoHyphens w:val="true"/>
        <w:bidi w:val="0"/>
        <w:spacing w:lineRule="auto" w:line="360"/>
        <w:ind w:left="0" w:right="0" w:hanging="0"/>
        <w:jc w:val="both"/>
        <w:rPr>
          <w:rFonts w:ascii="ISOCPEUR" w:hAnsi="ISOCPEUR"/>
        </w:rPr>
      </w:pPr>
      <w:r>
        <w:rPr>
          <w:rFonts w:eastAsia="Times New Roman" w:cs="Calibri" w:ascii="ISOCPEUR" w:hAnsi="ISOCPEUR"/>
          <w:b w:val="false"/>
          <w:bCs w:val="false"/>
          <w:color w:val="000000"/>
          <w:kern w:val="2"/>
          <w:sz w:val="22"/>
          <w:szCs w:val="22"/>
          <w:shd w:fill="auto" w:val="clear"/>
          <w:lang w:val="pl-PL" w:eastAsia="zh-CN" w:bidi="ar-SA"/>
        </w:rPr>
        <w:t>Montaż i układanie rur w gruncie wykonać zgodnie z „Instrukcją układania i montażu” opracowaną przez producentów systemów. Przewody układać na uprzednio przygotowanym podłożu. W miejscach złączy wykonać dołki montażowe o głębokości 10 cm dla umożliwienia prawidłowego wykonania złącza. Budowa kanałów winna być prowadzona zgodnie z wymaganiami PN-EN 752-2 - Zewnętrzne systemy kanalizacyjne – Wymagania.</w:t>
      </w:r>
    </w:p>
    <w:p>
      <w:pPr>
        <w:pStyle w:val="Tekstpodstawowywcity21"/>
        <w:widowControl/>
        <w:suppressAutoHyphens w:val="true"/>
        <w:bidi w:val="0"/>
        <w:spacing w:lineRule="auto" w:line="360"/>
        <w:ind w:left="0" w:right="0" w:hanging="0"/>
        <w:jc w:val="both"/>
        <w:rPr>
          <w:rFonts w:ascii="ISOCPEUR" w:hAnsi="ISOCPEUR" w:eastAsia="Times New Roman" w:cs="Calibri"/>
          <w:b w:val="false"/>
          <w:b w:val="false"/>
          <w:bCs w:val="false"/>
          <w:color w:val="000000"/>
          <w:kern w:val="2"/>
          <w:sz w:val="22"/>
          <w:szCs w:val="22"/>
          <w:shd w:fill="auto" w:val="clear"/>
          <w:lang w:val="pl-PL" w:eastAsia="zh-CN" w:bidi="ar-SA"/>
        </w:rPr>
      </w:pPr>
      <w:r>
        <w:rPr>
          <w:rFonts w:eastAsia="Times New Roman" w:cs="Calibri" w:ascii="ISOCPEUR" w:hAnsi="ISOCPEUR"/>
          <w:b w:val="false"/>
          <w:bCs w:val="false"/>
          <w:color w:val="000000"/>
          <w:kern w:val="2"/>
          <w:sz w:val="22"/>
          <w:szCs w:val="22"/>
          <w:shd w:fill="auto" w:val="clear"/>
          <w:lang w:val="pl-PL" w:eastAsia="zh-CN" w:bidi="ar-SA"/>
        </w:rPr>
      </w:r>
    </w:p>
    <w:p>
      <w:pPr>
        <w:pStyle w:val="Tekstpodstawowywcity21"/>
        <w:widowControl/>
        <w:suppressAutoHyphens w:val="true"/>
        <w:bidi w:val="0"/>
        <w:spacing w:lineRule="auto" w:line="360"/>
        <w:ind w:left="0" w:right="0" w:hanging="0"/>
        <w:jc w:val="both"/>
        <w:rPr>
          <w:rFonts w:ascii="ISOCPEUR" w:hAnsi="ISOCPEUR"/>
        </w:rPr>
      </w:pPr>
      <w:r>
        <w:rPr>
          <w:rFonts w:eastAsia="Times New Roman" w:cs="Calibri" w:ascii="ISOCPEUR" w:hAnsi="ISOCPEUR"/>
          <w:b/>
          <w:bCs/>
          <w:i w:val="false"/>
          <w:iCs w:val="false"/>
          <w:color w:val="000000"/>
          <w:kern w:val="2"/>
          <w:sz w:val="22"/>
          <w:szCs w:val="22"/>
          <w:u w:val="none"/>
          <w:shd w:fill="auto" w:val="clear"/>
          <w:lang w:val="pl-PL" w:eastAsia="zh-CN" w:bidi="ar-SA"/>
        </w:rPr>
        <w:t>Studzienki kanalizacji sanitarnej</w:t>
      </w:r>
    </w:p>
    <w:p>
      <w:pPr>
        <w:pStyle w:val="Normal"/>
        <w:widowControl/>
        <w:suppressAutoHyphens w:val="true"/>
        <w:bidi w:val="0"/>
        <w:spacing w:lineRule="auto" w:line="360"/>
        <w:ind w:left="0" w:right="0" w:hanging="0"/>
        <w:jc w:val="both"/>
        <w:rPr>
          <w:rFonts w:ascii="ISOCPEUR" w:hAnsi="ISOCPEUR"/>
        </w:rPr>
      </w:pPr>
      <w:r>
        <w:rPr>
          <w:rFonts w:eastAsia="Calibri" w:cs="Calibri" w:ascii="ISOCPEUR" w:hAnsi="ISOCPEUR"/>
          <w:b w:val="false"/>
          <w:bCs w:val="false"/>
          <w:i w:val="false"/>
          <w:iCs w:val="false"/>
          <w:color w:val="000000"/>
          <w:kern w:val="2"/>
          <w:sz w:val="22"/>
          <w:szCs w:val="22"/>
          <w:u w:val="none"/>
          <w:shd w:fill="auto" w:val="clear"/>
          <w:lang w:val="pl-PL" w:eastAsia="zh-CN" w:bidi="ar-SA"/>
        </w:rPr>
        <w:t xml:space="preserve">   </w:t>
      </w:r>
      <w:r>
        <w:rPr>
          <w:rFonts w:eastAsia="Calibri" w:cs="Calibri" w:ascii="ISOCPEUR" w:hAnsi="ISOCPEUR"/>
          <w:b w:val="false"/>
          <w:bCs w:val="false"/>
          <w:i w:val="false"/>
          <w:iCs w:val="false"/>
          <w:color w:val="000000"/>
          <w:kern w:val="2"/>
          <w:sz w:val="22"/>
          <w:szCs w:val="22"/>
          <w:u w:val="none"/>
          <w:shd w:fill="auto" w:val="clear"/>
          <w:lang w:val="pl-PL" w:eastAsia="zh-CN" w:bidi="ar-SA"/>
        </w:rPr>
        <w:t>Projektuje się s</w:t>
      </w:r>
      <w:r>
        <w:rPr>
          <w:rFonts w:eastAsia="Times New Roman" w:cs="Calibri" w:ascii="ISOCPEUR" w:hAnsi="ISOCPEUR"/>
          <w:b w:val="false"/>
          <w:bCs w:val="false"/>
          <w:i w:val="false"/>
          <w:iCs w:val="false"/>
          <w:color w:val="000000"/>
          <w:kern w:val="2"/>
          <w:sz w:val="22"/>
          <w:szCs w:val="22"/>
          <w:u w:val="none"/>
          <w:shd w:fill="auto" w:val="clear"/>
          <w:lang w:val="pl-PL" w:eastAsia="zh-CN" w:bidi="ar-SA"/>
        </w:rPr>
        <w:t xml:space="preserve">tudzienki DN1200 - </w:t>
      </w:r>
      <w:r>
        <w:rPr>
          <w:rFonts w:eastAsia="Times New Roman" w:cs="Calibri" w:ascii="ISOCPEUR" w:hAnsi="ISOCPEUR"/>
          <w:i w:val="false"/>
          <w:iCs w:val="false"/>
          <w:color w:val="000000"/>
          <w:kern w:val="2"/>
          <w:sz w:val="22"/>
          <w:szCs w:val="22"/>
          <w:u w:val="none"/>
          <w:shd w:fill="auto" w:val="clear"/>
          <w:lang w:val="pl-PL" w:eastAsia="zh-CN" w:bidi="ar-SA"/>
        </w:rPr>
        <w:t>z elementów prefabrykowanych z betonu klasy C35/45 (B45), łączonych na uszczelki. W skład studni rewizyjnej betonowej DN 1200 wchodzi:</w:t>
      </w:r>
    </w:p>
    <w:p>
      <w:pPr>
        <w:pStyle w:val="Tekstpodstawowywcity21"/>
        <w:widowControl/>
        <w:suppressAutoHyphens w:val="true"/>
        <w:bidi w:val="0"/>
        <w:spacing w:lineRule="auto" w:line="360"/>
        <w:ind w:left="0" w:right="0" w:hanging="0"/>
        <w:jc w:val="both"/>
        <w:rPr>
          <w:rFonts w:ascii="ISOCPEUR" w:hAnsi="ISOCPEUR"/>
        </w:rPr>
      </w:pPr>
      <w:r>
        <w:rPr>
          <w:rFonts w:eastAsia="Times New Roman" w:cs="Calibri" w:ascii="ISOCPEUR" w:hAnsi="ISOCPEUR"/>
          <w:b w:val="false"/>
          <w:bCs w:val="false"/>
          <w:i w:val="false"/>
          <w:iCs w:val="false"/>
          <w:color w:val="000000"/>
          <w:kern w:val="2"/>
          <w:sz w:val="22"/>
          <w:szCs w:val="22"/>
          <w:u w:val="none"/>
          <w:shd w:fill="auto" w:val="clear"/>
          <w:lang w:val="pl-PL" w:eastAsia="zh-CN" w:bidi="ar-SA"/>
        </w:rPr>
        <w:t>- betonowa podstawa studni o grubości ścianki 13,5-15 cm;</w:t>
      </w:r>
    </w:p>
    <w:p>
      <w:pPr>
        <w:pStyle w:val="Tekstpodstawowywcity21"/>
        <w:widowControl/>
        <w:suppressAutoHyphens w:val="true"/>
        <w:bidi w:val="0"/>
        <w:spacing w:lineRule="auto" w:line="360"/>
        <w:ind w:left="0" w:right="0" w:hanging="0"/>
        <w:jc w:val="both"/>
        <w:rPr>
          <w:rFonts w:ascii="ISOCPEUR" w:hAnsi="ISOCPEUR"/>
        </w:rPr>
      </w:pPr>
      <w:r>
        <w:rPr>
          <w:rFonts w:eastAsia="Times New Roman" w:cs="Calibri" w:ascii="ISOCPEUR" w:hAnsi="ISOCPEUR"/>
          <w:b w:val="false"/>
          <w:bCs w:val="false"/>
          <w:i w:val="false"/>
          <w:iCs w:val="false"/>
          <w:color w:val="000000"/>
          <w:kern w:val="2"/>
          <w:sz w:val="22"/>
          <w:szCs w:val="22"/>
          <w:u w:val="none"/>
          <w:shd w:fill="auto" w:val="clear"/>
          <w:lang w:val="pl-PL" w:eastAsia="zh-CN" w:bidi="ar-SA"/>
        </w:rPr>
        <w:t>- kręgi betonowe o grubości ścianki 13,5 cm;</w:t>
      </w:r>
    </w:p>
    <w:p>
      <w:pPr>
        <w:pStyle w:val="Tekstpodstawowywcity21"/>
        <w:widowControl/>
        <w:suppressAutoHyphens w:val="true"/>
        <w:bidi w:val="0"/>
        <w:spacing w:lineRule="auto" w:line="360"/>
        <w:ind w:left="340" w:right="0" w:hanging="340"/>
        <w:jc w:val="both"/>
        <w:rPr>
          <w:rFonts w:ascii="ISOCPEUR" w:hAnsi="ISOCPEUR"/>
        </w:rPr>
      </w:pPr>
      <w:r>
        <w:rPr>
          <w:rFonts w:eastAsia="Times New Roman" w:cs="Calibri" w:ascii="ISOCPEUR" w:hAnsi="ISOCPEUR"/>
          <w:b w:val="false"/>
          <w:bCs w:val="false"/>
          <w:i w:val="false"/>
          <w:iCs w:val="false"/>
          <w:color w:val="000000"/>
          <w:kern w:val="2"/>
          <w:sz w:val="22"/>
          <w:szCs w:val="22"/>
          <w:u w:val="none"/>
          <w:shd w:fill="auto" w:val="clear"/>
          <w:lang w:val="pl-PL" w:eastAsia="zh-CN" w:bidi="ar-SA"/>
        </w:rPr>
        <w:t>- płyta pokrywowa – teren zielony;</w:t>
      </w:r>
    </w:p>
    <w:p>
      <w:pPr>
        <w:pStyle w:val="Tekstpodstawowywcity21"/>
        <w:widowControl/>
        <w:suppressAutoHyphens w:val="true"/>
        <w:bidi w:val="0"/>
        <w:spacing w:lineRule="auto" w:line="360"/>
        <w:ind w:left="340" w:right="0" w:hanging="340"/>
        <w:jc w:val="both"/>
        <w:rPr>
          <w:rFonts w:ascii="ISOCPEUR" w:hAnsi="ISOCPEUR"/>
        </w:rPr>
      </w:pPr>
      <w:r>
        <w:rPr>
          <w:rFonts w:eastAsia="Times New Roman" w:cs="Calibri" w:ascii="ISOCPEUR" w:hAnsi="ISOCPEUR"/>
          <w:b w:val="false"/>
          <w:bCs w:val="false"/>
          <w:i w:val="false"/>
          <w:iCs w:val="false"/>
          <w:color w:val="000000"/>
          <w:kern w:val="2"/>
          <w:sz w:val="22"/>
          <w:szCs w:val="22"/>
          <w:u w:val="none"/>
          <w:shd w:fill="auto" w:val="clear"/>
          <w:lang w:val="pl-PL" w:eastAsia="zh-CN" w:bidi="ar-SA"/>
        </w:rPr>
        <w:t>- właz żeliwny DN 600 mm, osadzony na betonowych pierścieniach wyrównawczych;</w:t>
      </w:r>
    </w:p>
    <w:p>
      <w:pPr>
        <w:pStyle w:val="Tekstpodstawowywcity21"/>
        <w:widowControl/>
        <w:suppressAutoHyphens w:val="true"/>
        <w:bidi w:val="0"/>
        <w:spacing w:lineRule="auto" w:line="360"/>
        <w:ind w:left="0" w:right="0" w:hanging="0"/>
        <w:jc w:val="both"/>
        <w:rPr>
          <w:rFonts w:ascii="ISOCPEUR" w:hAnsi="ISOCPEUR"/>
        </w:rPr>
      </w:pPr>
      <w:r>
        <w:rPr>
          <w:rFonts w:eastAsia="Times New Roman" w:cs="Calibri" w:ascii="ISOCPEUR" w:hAnsi="ISOCPEUR"/>
          <w:b w:val="false"/>
          <w:bCs w:val="false"/>
          <w:i w:val="false"/>
          <w:iCs w:val="false"/>
          <w:color w:val="000000"/>
          <w:kern w:val="2"/>
          <w:sz w:val="22"/>
          <w:szCs w:val="22"/>
          <w:u w:val="none"/>
          <w:shd w:fill="auto" w:val="clear"/>
          <w:lang w:val="pl-PL" w:eastAsia="zh-CN" w:bidi="ar-SA"/>
        </w:rPr>
        <w:t>- stopnie złazowe żeliwne osadzone fabrycznie w kręgach;</w:t>
      </w:r>
    </w:p>
    <w:p>
      <w:pPr>
        <w:pStyle w:val="Tekstpodstawowywcity21"/>
        <w:widowControl/>
        <w:suppressAutoHyphens w:val="true"/>
        <w:bidi w:val="0"/>
        <w:spacing w:lineRule="auto" w:line="360"/>
        <w:ind w:left="0" w:right="0" w:hanging="0"/>
        <w:jc w:val="both"/>
        <w:rPr>
          <w:rFonts w:ascii="ISOCPEUR" w:hAnsi="ISOCPEUR"/>
        </w:rPr>
      </w:pPr>
      <w:r>
        <w:rPr>
          <w:rFonts w:eastAsia="Times New Roman" w:cs="Calibri" w:ascii="ISOCPEUR" w:hAnsi="ISOCPEUR"/>
          <w:b w:val="false"/>
          <w:bCs w:val="false"/>
          <w:i w:val="false"/>
          <w:iCs w:val="false"/>
          <w:color w:val="000000"/>
          <w:kern w:val="2"/>
          <w:sz w:val="22"/>
          <w:szCs w:val="22"/>
          <w:u w:val="none"/>
          <w:shd w:fill="auto" w:val="clear"/>
          <w:lang w:val="pl-PL" w:eastAsia="zh-CN" w:bidi="ar-SA"/>
        </w:rPr>
        <w:t>- uszczelnienia wejść rur kanalizacyjnych do studzienek.</w:t>
      </w:r>
    </w:p>
    <w:p>
      <w:pPr>
        <w:pStyle w:val="Normal"/>
        <w:suppressAutoHyphens w:val="true"/>
        <w:spacing w:lineRule="auto" w:line="360"/>
        <w:jc w:val="both"/>
        <w:rPr>
          <w:rFonts w:ascii="ISOCPEUR" w:hAnsi="ISOCPEUR"/>
        </w:rPr>
      </w:pPr>
      <w:r>
        <w:rPr>
          <w:rFonts w:eastAsia="Symbol" w:cs="Calibri" w:ascii="ISOCPEUR" w:hAnsi="ISOCPEUR"/>
          <w:i w:val="false"/>
          <w:iCs w:val="false"/>
          <w:color w:val="000000"/>
          <w:sz w:val="22"/>
          <w:szCs w:val="22"/>
          <w:u w:val="none"/>
          <w:shd w:fill="auto" w:val="clear"/>
          <w:lang w:val="pl-PL"/>
        </w:rPr>
        <w:t>Połączenie płyty pokrywowej z pierścieniami wyrównawczymi na zaprawę wodoszczelną.</w:t>
      </w:r>
      <w:r>
        <w:rPr>
          <w:rFonts w:eastAsia="Symbol" w:cs="Calibri" w:ascii="ISOCPEUR" w:hAnsi="ISOCPEUR"/>
          <w:b w:val="false"/>
          <w:i w:val="false"/>
          <w:iCs w:val="false"/>
          <w:color w:val="FF3333"/>
          <w:kern w:val="2"/>
          <w:position w:val="0"/>
          <w:sz w:val="22"/>
          <w:sz w:val="22"/>
          <w:szCs w:val="22"/>
          <w:u w:val="none"/>
          <w:shd w:fill="auto" w:val="clear"/>
          <w:vertAlign w:val="baseline"/>
          <w:lang w:val="pl-PL" w:eastAsia="zh-CN" w:bidi="ar-SA"/>
        </w:rPr>
        <w:t xml:space="preserve"> </w:t>
      </w:r>
      <w:r>
        <w:rPr>
          <w:rFonts w:eastAsia="Symbol" w:cs="Calibri" w:ascii="ISOCPEUR" w:hAnsi="ISOCPEUR"/>
          <w:b w:val="false"/>
          <w:i w:val="false"/>
          <w:iCs w:val="false"/>
          <w:color w:val="000000"/>
          <w:kern w:val="2"/>
          <w:position w:val="0"/>
          <w:sz w:val="22"/>
          <w:sz w:val="22"/>
          <w:szCs w:val="22"/>
          <w:u w:val="none"/>
          <w:shd w:fill="auto" w:val="clear"/>
          <w:vertAlign w:val="baseline"/>
          <w:lang w:val="pl-PL" w:eastAsia="zh-CN" w:bidi="ar-SA"/>
        </w:rPr>
        <w:t>Ściany zewnętrzne studzienek betonowych zaizolować poprzez nałożenie dwukrotnej warstwy masy gruntującej asfaltowo-kauczukowej.</w:t>
      </w:r>
    </w:p>
    <w:p>
      <w:pPr>
        <w:pStyle w:val="Normal"/>
        <w:suppressAutoHyphens w:val="true"/>
        <w:spacing w:lineRule="auto" w:line="360"/>
        <w:jc w:val="both"/>
        <w:rPr>
          <w:rFonts w:ascii="ISOCPEUR" w:hAnsi="ISOCPEUR"/>
        </w:rPr>
      </w:pPr>
      <w:r>
        <w:rPr>
          <w:rFonts w:eastAsia="Symbol" w:cs="Calibri" w:ascii="ISOCPEUR" w:hAnsi="ISOCPEUR"/>
          <w:b w:val="false"/>
          <w:i w:val="false"/>
          <w:iCs w:val="false"/>
          <w:color w:val="000000"/>
          <w:kern w:val="2"/>
          <w:position w:val="0"/>
          <w:sz w:val="22"/>
          <w:sz w:val="22"/>
          <w:szCs w:val="22"/>
          <w:u w:val="none"/>
          <w:shd w:fill="auto" w:val="clear"/>
          <w:vertAlign w:val="baseline"/>
          <w:lang w:val="pl-PL" w:eastAsia="zh-CN" w:bidi="ar-SA"/>
        </w:rPr>
        <w:t>Wszystkie studzienki przeznaczone na gromadzenie ścieków, należy po ich wykonaniu  zbadać pod kątem szczelności.</w:t>
      </w:r>
    </w:p>
    <w:p>
      <w:pPr>
        <w:pStyle w:val="Normal"/>
        <w:widowControl/>
        <w:suppressAutoHyphens w:val="true"/>
        <w:bidi w:val="0"/>
        <w:spacing w:lineRule="auto" w:line="360"/>
        <w:ind w:left="0" w:right="0" w:hanging="0"/>
        <w:jc w:val="both"/>
        <w:rPr>
          <w:rFonts w:ascii="ISOCPEUR" w:hAnsi="ISOCPEUR"/>
        </w:rPr>
      </w:pPr>
      <w:r>
        <w:rPr>
          <w:rFonts w:eastAsia="Calibri" w:cs="Calibri" w:ascii="ISOCPEUR" w:hAnsi="ISOCPEUR"/>
          <w:b w:val="false"/>
          <w:i w:val="false"/>
          <w:iCs w:val="false"/>
          <w:color w:val="000000"/>
          <w:kern w:val="2"/>
          <w:position w:val="0"/>
          <w:sz w:val="22"/>
          <w:sz w:val="22"/>
          <w:szCs w:val="22"/>
          <w:u w:val="none"/>
          <w:shd w:fill="auto" w:val="clear"/>
          <w:vertAlign w:val="baseline"/>
          <w:lang w:val="pl-PL" w:eastAsia="zh-CN" w:bidi="ar-SA"/>
        </w:rPr>
        <w:t xml:space="preserve">    </w:t>
      </w:r>
      <w:r>
        <w:rPr>
          <w:rFonts w:eastAsia="Times New Roman" w:cs="Calibri" w:ascii="ISOCPEUR" w:hAnsi="ISOCPEUR"/>
          <w:b w:val="false"/>
          <w:i w:val="false"/>
          <w:iCs w:val="false"/>
          <w:color w:val="000000"/>
          <w:kern w:val="2"/>
          <w:position w:val="0"/>
          <w:sz w:val="22"/>
          <w:sz w:val="22"/>
          <w:szCs w:val="22"/>
          <w:u w:val="none"/>
          <w:shd w:fill="auto" w:val="clear"/>
          <w:vertAlign w:val="baseline"/>
          <w:lang w:val="pl-PL" w:eastAsia="zh-CN" w:bidi="ar-SA"/>
        </w:rPr>
        <w:t>~ Włazy</w:t>
      </w:r>
    </w:p>
    <w:p>
      <w:pPr>
        <w:pStyle w:val="Tekstpodstawowywcity21"/>
        <w:widowControl/>
        <w:suppressAutoHyphens w:val="true"/>
        <w:bidi w:val="0"/>
        <w:spacing w:lineRule="auto" w:line="360"/>
        <w:ind w:left="0" w:right="0" w:hanging="0"/>
        <w:jc w:val="both"/>
        <w:rPr>
          <w:rFonts w:ascii="ISOCPEUR" w:hAnsi="ISOCPEUR"/>
        </w:rPr>
      </w:pPr>
      <w:r>
        <w:rPr>
          <w:rFonts w:eastAsia="Times New Roman" w:cs="Calibri" w:ascii="ISOCPEUR" w:hAnsi="ISOCPEUR"/>
          <w:b w:val="false"/>
          <w:i w:val="false"/>
          <w:iCs w:val="false"/>
          <w:color w:val="000000"/>
          <w:kern w:val="2"/>
          <w:position w:val="0"/>
          <w:sz w:val="22"/>
          <w:sz w:val="22"/>
          <w:szCs w:val="22"/>
          <w:u w:val="none"/>
          <w:shd w:fill="auto" w:val="clear"/>
          <w:vertAlign w:val="baseline"/>
          <w:lang w:val="pl-PL" w:eastAsia="zh-CN" w:bidi="ar-SA"/>
        </w:rPr>
        <w:t xml:space="preserve">Przyjęto włazy klasy B125 (powierzchnia biologicznie czynna, zieleń) lub klasy D400 (powierzchnia narażona na ruch samochodowy) wg PN-EN 124 z podwójnym zamknięciem ryglowym. Przy wykonywaniu studzienek kanalizacyjnych, należy przestrzegać postanowień normy PN-EN 476 - Wymagania ogólne dotyczące elementów stosowanych w systemach kanalizacji grawitacyjnej. </w:t>
      </w:r>
      <w:r>
        <w:rPr>
          <w:rFonts w:eastAsia="Times New Roman" w:cs="Calibri" w:ascii="ISOCPEUR" w:hAnsi="ISOCPEUR"/>
          <w:b w:val="false"/>
          <w:bCs w:val="false"/>
          <w:i w:val="false"/>
          <w:iCs w:val="false"/>
          <w:color w:val="000000"/>
          <w:kern w:val="2"/>
          <w:position w:val="0"/>
          <w:sz w:val="22"/>
          <w:sz w:val="22"/>
          <w:szCs w:val="22"/>
          <w:u w:val="none"/>
          <w:shd w:fill="auto" w:val="clear"/>
          <w:vertAlign w:val="baseline"/>
          <w:lang w:val="pl-PL" w:eastAsia="zh-CN" w:bidi="ar-SA"/>
        </w:rPr>
        <w:t>Przed montażem podstawy studzienki ułożyć warstwę betonu B10 i świeżej zaprawy cementowej o łącznej grubości 10 cm oraz dodatkowo warstwę piasku ze stabilizacją cementem zagęszczonego do Is=0,90. Przy wykonywaniu studzienek rewizyjnych, należy przestrzegać postanowień normy PN-92/B-010729. Szczelność studzienek i kanałów powinna spełniać wymagania PN 92/B-10735: „Kanalizacja. Przewody kanalizacyjne. Wymagania i badania przy odbiorze”.</w:t>
      </w:r>
    </w:p>
    <w:p>
      <w:pPr>
        <w:pStyle w:val="Tekstpodstawowywcity21"/>
        <w:widowControl/>
        <w:suppressAutoHyphens w:val="true"/>
        <w:bidi w:val="0"/>
        <w:spacing w:lineRule="auto" w:line="360"/>
        <w:ind w:left="0" w:right="0" w:hanging="0"/>
        <w:jc w:val="both"/>
        <w:rPr>
          <w:rFonts w:ascii="ISOCPEUR" w:hAnsi="ISOCPEUR"/>
        </w:rPr>
      </w:pPr>
      <w:r>
        <w:rPr>
          <w:rFonts w:eastAsia="Times New Roman" w:cs="Calibri" w:ascii="ISOCPEUR" w:hAnsi="ISOCPEUR"/>
          <w:b/>
          <w:bCs/>
          <w:i w:val="false"/>
          <w:iCs w:val="false"/>
          <w:color w:val="000000"/>
          <w:kern w:val="2"/>
          <w:sz w:val="22"/>
          <w:szCs w:val="22"/>
          <w:u w:val="none"/>
          <w:shd w:fill="auto" w:val="clear"/>
          <w:lang w:val="pl-PL" w:eastAsia="zh-CN" w:bidi="ar-SA"/>
        </w:rPr>
        <w:t>Odbiory i badania</w:t>
      </w:r>
    </w:p>
    <w:p>
      <w:pPr>
        <w:pStyle w:val="Tekstpodstawowywcity21"/>
        <w:widowControl/>
        <w:suppressAutoHyphens w:val="true"/>
        <w:bidi w:val="0"/>
        <w:spacing w:lineRule="auto" w:line="360"/>
        <w:ind w:left="0" w:right="0" w:hanging="0"/>
        <w:jc w:val="both"/>
        <w:rPr>
          <w:rFonts w:ascii="ISOCPEUR" w:hAnsi="ISOCPEUR"/>
        </w:rPr>
      </w:pPr>
      <w:r>
        <w:rPr>
          <w:rFonts w:eastAsia="Times New Roman" w:cs="Calibri" w:ascii="ISOCPEUR" w:hAnsi="ISOCPEUR"/>
          <w:b w:val="false"/>
          <w:bCs w:val="false"/>
          <w:i w:val="false"/>
          <w:iCs w:val="false"/>
          <w:color w:val="000000"/>
          <w:kern w:val="2"/>
          <w:sz w:val="22"/>
          <w:szCs w:val="22"/>
          <w:u w:val="none"/>
          <w:shd w:fill="auto" w:val="clear"/>
          <w:lang w:val="pl-PL" w:eastAsia="zh-CN" w:bidi="ar-SA"/>
        </w:rPr>
        <w:t>Badania przy odbiorze oraz szczelności studzienek i kanałów winny być zgodne z wymaganiami normy PN-EN 1610 - Budowa i badania przewodów kanalizacyjnych. Ciśnienie próbne wynika</w:t>
        <w:br/>
        <w:t xml:space="preserve">z wypełnienia badanego odcinka przewodu wodą do poziomu terenu, przy czym ciśnienie to nie może być większe niż 50 kPa i mniejsze niż 10 kPa. Czas trwania próby 30 minut. </w:t>
      </w:r>
    </w:p>
    <w:p>
      <w:pPr>
        <w:pStyle w:val="Tekstpodstawowywcity21"/>
        <w:widowControl/>
        <w:suppressAutoHyphens w:val="true"/>
        <w:bidi w:val="0"/>
        <w:spacing w:lineRule="auto" w:line="360"/>
        <w:ind w:left="0" w:right="0" w:hanging="0"/>
        <w:jc w:val="both"/>
        <w:rPr>
          <w:rFonts w:ascii="ISOCPEUR" w:hAnsi="ISOCPEUR"/>
        </w:rPr>
      </w:pPr>
      <w:r>
        <w:rPr>
          <w:rFonts w:eastAsia="Times New Roman" w:cs="Calibri" w:ascii="ISOCPEUR" w:hAnsi="ISOCPEUR"/>
          <w:b w:val="false"/>
          <w:bCs w:val="false"/>
          <w:i w:val="false"/>
          <w:iCs w:val="false"/>
          <w:color w:val="000000"/>
          <w:kern w:val="2"/>
          <w:sz w:val="22"/>
          <w:szCs w:val="22"/>
          <w:u w:val="none"/>
          <w:shd w:fill="auto" w:val="clear"/>
          <w:lang w:val="pl-PL" w:eastAsia="zh-CN" w:bidi="ar-SA"/>
        </w:rPr>
        <w:t>Odbiorom międzyoperacyjnym podlegają:</w:t>
      </w:r>
    </w:p>
    <w:p>
      <w:pPr>
        <w:pStyle w:val="Tekstpodstawowywcity21"/>
        <w:widowControl/>
        <w:suppressAutoHyphens w:val="true"/>
        <w:bidi w:val="0"/>
        <w:spacing w:lineRule="auto" w:line="360"/>
        <w:ind w:left="0" w:right="0" w:hanging="0"/>
        <w:jc w:val="both"/>
        <w:rPr>
          <w:rFonts w:ascii="ISOCPEUR" w:hAnsi="ISOCPEUR"/>
        </w:rPr>
      </w:pPr>
      <w:r>
        <w:rPr>
          <w:rFonts w:eastAsia="Times New Roman" w:cs="Calibri" w:ascii="ISOCPEUR" w:hAnsi="ISOCPEUR"/>
          <w:b w:val="false"/>
          <w:bCs w:val="false"/>
          <w:i w:val="false"/>
          <w:iCs w:val="false"/>
          <w:color w:val="000000"/>
          <w:kern w:val="2"/>
          <w:sz w:val="22"/>
          <w:szCs w:val="22"/>
          <w:u w:val="none"/>
          <w:shd w:fill="auto" w:val="clear"/>
          <w:lang w:val="pl-PL" w:eastAsia="zh-CN" w:bidi="ar-SA"/>
        </w:rPr>
        <w:t>- wykonanie dna wykopu wraz z podłożem;</w:t>
      </w:r>
    </w:p>
    <w:p>
      <w:pPr>
        <w:pStyle w:val="Tekstpodstawowywcity21"/>
        <w:widowControl/>
        <w:suppressAutoHyphens w:val="true"/>
        <w:bidi w:val="0"/>
        <w:spacing w:lineRule="auto" w:line="360"/>
        <w:ind w:left="0" w:right="0" w:hanging="0"/>
        <w:jc w:val="both"/>
        <w:rPr>
          <w:rFonts w:ascii="ISOCPEUR" w:hAnsi="ISOCPEUR"/>
        </w:rPr>
      </w:pPr>
      <w:r>
        <w:rPr>
          <w:rFonts w:eastAsia="Times New Roman" w:cs="Calibri" w:ascii="ISOCPEUR" w:hAnsi="ISOCPEUR"/>
          <w:b w:val="false"/>
          <w:bCs w:val="false"/>
          <w:i w:val="false"/>
          <w:iCs w:val="false"/>
          <w:color w:val="000000"/>
          <w:kern w:val="2"/>
          <w:sz w:val="22"/>
          <w:szCs w:val="22"/>
          <w:u w:val="none"/>
          <w:shd w:fill="auto" w:val="clear"/>
          <w:lang w:val="pl-PL" w:eastAsia="zh-CN" w:bidi="ar-SA"/>
        </w:rPr>
        <w:t>- wykonanie studzienek;</w:t>
      </w:r>
    </w:p>
    <w:p>
      <w:pPr>
        <w:pStyle w:val="Tekstpodstawowywcity21"/>
        <w:widowControl/>
        <w:suppressAutoHyphens w:val="true"/>
        <w:bidi w:val="0"/>
        <w:spacing w:lineRule="auto" w:line="360"/>
        <w:ind w:left="0" w:right="0" w:hanging="0"/>
        <w:jc w:val="both"/>
        <w:rPr>
          <w:rFonts w:ascii="ISOCPEUR" w:hAnsi="ISOCPEUR"/>
        </w:rPr>
      </w:pPr>
      <w:r>
        <w:rPr>
          <w:rFonts w:eastAsia="Times New Roman" w:cs="Calibri" w:ascii="ISOCPEUR" w:hAnsi="ISOCPEUR"/>
          <w:b w:val="false"/>
          <w:bCs w:val="false"/>
          <w:i w:val="false"/>
          <w:iCs w:val="false"/>
          <w:color w:val="000000"/>
          <w:kern w:val="2"/>
          <w:sz w:val="22"/>
          <w:szCs w:val="22"/>
          <w:u w:val="none"/>
          <w:shd w:fill="auto" w:val="clear"/>
          <w:lang w:val="pl-PL" w:eastAsia="zh-CN" w:bidi="ar-SA"/>
        </w:rPr>
        <w:t>- montaż rur i uszczelnienie złącz;</w:t>
      </w:r>
    </w:p>
    <w:p>
      <w:pPr>
        <w:pStyle w:val="Tekstpodstawowywcity21"/>
        <w:widowControl/>
        <w:suppressAutoHyphens w:val="true"/>
        <w:bidi w:val="0"/>
        <w:spacing w:lineRule="auto" w:line="360"/>
        <w:ind w:left="0" w:right="0" w:hanging="0"/>
        <w:jc w:val="both"/>
        <w:rPr>
          <w:rFonts w:ascii="ISOCPEUR" w:hAnsi="ISOCPEUR"/>
        </w:rPr>
      </w:pPr>
      <w:r>
        <w:rPr>
          <w:rFonts w:eastAsia="Times New Roman" w:cs="Calibri" w:ascii="ISOCPEUR" w:hAnsi="ISOCPEUR"/>
          <w:b w:val="false"/>
          <w:bCs w:val="false"/>
          <w:i w:val="false"/>
          <w:iCs w:val="false"/>
          <w:color w:val="000000"/>
          <w:kern w:val="2"/>
          <w:sz w:val="22"/>
          <w:szCs w:val="22"/>
          <w:u w:val="none"/>
          <w:shd w:fill="auto" w:val="clear"/>
          <w:lang w:val="pl-PL" w:eastAsia="zh-CN" w:bidi="ar-SA"/>
        </w:rPr>
        <w:t>- obsypka rurociągu;</w:t>
      </w:r>
    </w:p>
    <w:p>
      <w:pPr>
        <w:pStyle w:val="Tekstpodstawowywcity21"/>
        <w:widowControl/>
        <w:suppressAutoHyphens w:val="true"/>
        <w:bidi w:val="0"/>
        <w:spacing w:lineRule="auto" w:line="360"/>
        <w:ind w:left="0" w:right="0" w:hanging="0"/>
        <w:jc w:val="both"/>
        <w:rPr>
          <w:rFonts w:ascii="ISOCPEUR" w:hAnsi="ISOCPEUR"/>
        </w:rPr>
      </w:pPr>
      <w:r>
        <w:rPr>
          <w:rFonts w:eastAsia="Times New Roman" w:cs="Calibri" w:ascii="ISOCPEUR" w:hAnsi="ISOCPEUR"/>
          <w:b w:val="false"/>
          <w:bCs w:val="false"/>
          <w:i w:val="false"/>
          <w:iCs w:val="false"/>
          <w:color w:val="000000"/>
          <w:kern w:val="2"/>
          <w:sz w:val="22"/>
          <w:szCs w:val="22"/>
          <w:u w:val="none"/>
          <w:shd w:fill="auto" w:val="clear"/>
          <w:lang w:val="pl-PL" w:eastAsia="zh-CN" w:bidi="ar-SA"/>
        </w:rPr>
        <w:t>- szczelność kanału, studzienek;</w:t>
      </w:r>
    </w:p>
    <w:p>
      <w:pPr>
        <w:pStyle w:val="Tekstpodstawowywcity21"/>
        <w:widowControl/>
        <w:suppressAutoHyphens w:val="true"/>
        <w:bidi w:val="0"/>
        <w:spacing w:lineRule="auto" w:line="360"/>
        <w:ind w:left="0" w:right="0" w:hanging="0"/>
        <w:jc w:val="both"/>
        <w:rPr>
          <w:rFonts w:ascii="ISOCPEUR" w:hAnsi="ISOCPEUR"/>
        </w:rPr>
      </w:pPr>
      <w:r>
        <w:rPr>
          <w:rFonts w:eastAsia="Times New Roman" w:cs="Calibri" w:ascii="ISOCPEUR" w:hAnsi="ISOCPEUR"/>
          <w:b w:val="false"/>
          <w:bCs w:val="false"/>
          <w:i w:val="false"/>
          <w:iCs w:val="false"/>
          <w:strike w:val="false"/>
          <w:dstrike w:val="false"/>
          <w:color w:val="000000"/>
          <w:kern w:val="2"/>
          <w:sz w:val="22"/>
          <w:szCs w:val="22"/>
          <w:u w:val="none"/>
          <w:shd w:fill="auto" w:val="clear"/>
          <w:lang w:val="pl-PL" w:eastAsia="zh-CN" w:bidi="ar-SA"/>
        </w:rPr>
        <w:t>- zasypka wykopów: materiał, wskaźnik zagęszczenia.</w:t>
      </w:r>
    </w:p>
    <w:p>
      <w:pPr>
        <w:pStyle w:val="Nagwek2"/>
        <w:spacing w:lineRule="auto" w:line="360"/>
        <w:rPr>
          <w:rFonts w:ascii="ISOCPEUR" w:hAnsi="ISOCPEUR"/>
        </w:rPr>
      </w:pPr>
      <w:bookmarkStart w:id="37" w:name="__RefHeading___Toc6626_1471982776"/>
      <w:bookmarkEnd w:id="37"/>
      <w:r>
        <w:rPr>
          <w:rFonts w:ascii="ISOCPEUR" w:hAnsi="ISOCPEUR"/>
          <w:b/>
          <w:bCs/>
          <w:smallCaps/>
          <w:color w:val="000000"/>
          <w:kern w:val="0"/>
          <w:sz w:val="22"/>
          <w:szCs w:val="22"/>
          <w:lang w:val="pl-PL" w:eastAsia="en-US" w:bidi="ar-SA"/>
        </w:rPr>
        <w:t>Rozwiązania Instalacji Sanitarnych</w:t>
      </w:r>
    </w:p>
    <w:p>
      <w:pPr>
        <w:pStyle w:val="Nagwek3"/>
        <w:spacing w:lineRule="auto" w:line="360"/>
        <w:rPr>
          <w:rFonts w:ascii="ISOCPEUR" w:hAnsi="ISOCPEUR"/>
        </w:rPr>
      </w:pPr>
      <w:bookmarkStart w:id="38" w:name="__RefHeading___Toc6630_14719827762"/>
      <w:bookmarkEnd w:id="38"/>
      <w:r>
        <w:rPr>
          <w:rFonts w:ascii="ISOCPEUR" w:hAnsi="ISOCPEUR"/>
          <w:b/>
          <w:bCs/>
          <w:smallCaps/>
          <w:color w:val="000000"/>
          <w:kern w:val="0"/>
          <w:sz w:val="22"/>
          <w:szCs w:val="22"/>
          <w:lang w:val="pl-PL" w:eastAsia="en-US" w:bidi="ar-SA"/>
        </w:rPr>
        <w:t xml:space="preserve">INSTALACJA GRZEWCZA BUDYNKU </w:t>
      </w:r>
      <w:r>
        <w:rPr>
          <w:rFonts w:eastAsia="Segoe UI" w:cs="Tahoma" w:ascii="ISOCPEUR" w:hAnsi="ISOCPEUR"/>
          <w:b/>
          <w:bCs/>
          <w:smallCaps/>
          <w:color w:val="000000"/>
          <w:kern w:val="0"/>
          <w:sz w:val="22"/>
          <w:szCs w:val="22"/>
          <w:lang w:val="pl-PL" w:eastAsia="en-US" w:bidi="ar-SA"/>
        </w:rPr>
        <w:t>POMPOWNI</w:t>
      </w:r>
    </w:p>
    <w:p>
      <w:pPr>
        <w:pStyle w:val="Normal"/>
        <w:spacing w:lineRule="auto" w:line="360"/>
        <w:rPr>
          <w:rFonts w:ascii="ISOCPEUR" w:hAnsi="ISOCPEUR"/>
        </w:rPr>
      </w:pPr>
      <w:r>
        <w:rPr>
          <w:rFonts w:ascii="ISOCPEUR" w:hAnsi="ISOCPEUR"/>
          <w:b w:val="false"/>
          <w:i w:val="false"/>
          <w:caps w:val="false"/>
          <w:smallCaps w:val="false"/>
          <w:color w:val="333333"/>
          <w:spacing w:val="0"/>
          <w:sz w:val="22"/>
          <w:szCs w:val="22"/>
        </w:rPr>
        <w:t xml:space="preserve">Zgodnie z założeniami, przyjęto koncepcję ogrzewania elektrycznego. </w:t>
      </w:r>
    </w:p>
    <w:p>
      <w:pPr>
        <w:pStyle w:val="Normal"/>
        <w:spacing w:lineRule="auto" w:line="360"/>
        <w:rPr>
          <w:rFonts w:ascii="ISOCPEUR" w:hAnsi="ISOCPEUR"/>
        </w:rPr>
      </w:pPr>
      <w:r>
        <w:rPr>
          <w:rFonts w:ascii="ISOCPEUR" w:hAnsi="ISOCPEUR"/>
          <w:b w:val="false"/>
          <w:i w:val="false"/>
          <w:caps w:val="false"/>
          <w:smallCaps w:val="false"/>
          <w:color w:val="333333"/>
          <w:spacing w:val="0"/>
          <w:sz w:val="22"/>
          <w:szCs w:val="22"/>
        </w:rPr>
        <w:t>Przedmiotowy budynek ogrzewany będzie za pomocą grzejnik</w:t>
      </w:r>
      <w:r>
        <w:rPr>
          <w:rFonts w:ascii="ISOCPEUR" w:hAnsi="ISOCPEUR"/>
          <w:b w:val="false"/>
          <w:i w:val="false"/>
          <w:caps w:val="false"/>
          <w:smallCaps w:val="false"/>
          <w:color w:val="333333"/>
          <w:spacing w:val="0"/>
          <w:kern w:val="0"/>
          <w:sz w:val="22"/>
          <w:szCs w:val="22"/>
          <w:lang w:val="pl-PL" w:eastAsia="en-US" w:bidi="ar-SA"/>
        </w:rPr>
        <w:t>ów</w:t>
      </w:r>
      <w:r>
        <w:rPr>
          <w:rFonts w:ascii="ISOCPEUR" w:hAnsi="ISOCPEUR"/>
          <w:b w:val="false"/>
          <w:i w:val="false"/>
          <w:caps w:val="false"/>
          <w:smallCaps w:val="false"/>
          <w:color w:val="333333"/>
          <w:spacing w:val="0"/>
          <w:sz w:val="22"/>
          <w:szCs w:val="22"/>
        </w:rPr>
        <w:t xml:space="preserve"> elektryczn</w:t>
      </w:r>
      <w:r>
        <w:rPr>
          <w:rFonts w:eastAsia="Segoe UI" w:cs="Tahoma" w:ascii="ISOCPEUR" w:hAnsi="ISOCPEUR"/>
          <w:b w:val="false"/>
          <w:i w:val="false"/>
          <w:caps w:val="false"/>
          <w:smallCaps w:val="false"/>
          <w:color w:val="333333"/>
          <w:spacing w:val="0"/>
          <w:kern w:val="0"/>
          <w:sz w:val="22"/>
          <w:szCs w:val="22"/>
          <w:lang w:val="pl-PL" w:eastAsia="en-US" w:bidi="ar-SA"/>
        </w:rPr>
        <w:t>ych</w:t>
      </w:r>
      <w:r>
        <w:rPr>
          <w:rFonts w:ascii="ISOCPEUR" w:hAnsi="ISOCPEUR"/>
          <w:b w:val="false"/>
          <w:i w:val="false"/>
          <w:caps w:val="false"/>
          <w:smallCaps w:val="false"/>
          <w:color w:val="333333"/>
          <w:spacing w:val="0"/>
          <w:sz w:val="22"/>
          <w:szCs w:val="22"/>
        </w:rPr>
        <w:t xml:space="preserve"> o moc</w:t>
      </w:r>
      <w:r>
        <w:rPr>
          <w:rFonts w:ascii="ISOCPEUR" w:hAnsi="ISOCPEUR"/>
          <w:b w:val="false"/>
          <w:i w:val="false"/>
          <w:caps w:val="false"/>
          <w:smallCaps w:val="false"/>
          <w:color w:val="333333"/>
          <w:spacing w:val="0"/>
          <w:kern w:val="0"/>
          <w:sz w:val="22"/>
          <w:szCs w:val="22"/>
          <w:lang w:val="pl-PL" w:eastAsia="en-US" w:bidi="ar-SA"/>
        </w:rPr>
        <w:t>y</w:t>
      </w:r>
      <w:r>
        <w:rPr>
          <w:rFonts w:ascii="ISOCPEUR" w:hAnsi="ISOCPEUR"/>
          <w:b w:val="false"/>
          <w:i w:val="false"/>
          <w:caps w:val="false"/>
          <w:smallCaps w:val="false"/>
          <w:color w:val="333333"/>
          <w:spacing w:val="0"/>
          <w:sz w:val="22"/>
          <w:szCs w:val="22"/>
        </w:rPr>
        <w:t xml:space="preserve"> </w:t>
      </w:r>
      <w:r>
        <w:rPr>
          <w:rFonts w:ascii="ISOCPEUR" w:hAnsi="ISOCPEUR"/>
          <w:b w:val="false"/>
          <w:i w:val="false"/>
          <w:caps w:val="false"/>
          <w:smallCaps w:val="false"/>
          <w:color w:val="333333"/>
          <w:spacing w:val="0"/>
          <w:kern w:val="0"/>
          <w:sz w:val="22"/>
          <w:szCs w:val="22"/>
          <w:lang w:val="pl-PL" w:eastAsia="en-US" w:bidi="ar-SA"/>
        </w:rPr>
        <w:t>20</w:t>
      </w:r>
      <w:r>
        <w:rPr>
          <w:rFonts w:ascii="ISOCPEUR" w:hAnsi="ISOCPEUR"/>
          <w:b w:val="false"/>
          <w:i w:val="false"/>
          <w:caps w:val="false"/>
          <w:smallCaps w:val="false"/>
          <w:color w:val="333333"/>
          <w:spacing w:val="0"/>
          <w:sz w:val="22"/>
          <w:szCs w:val="22"/>
        </w:rPr>
        <w:t xml:space="preserve">00W, </w:t>
      </w:r>
      <w:r>
        <w:rPr>
          <w:rFonts w:ascii="ISOCPEUR" w:hAnsi="ISOCPEUR"/>
          <w:b w:val="false"/>
          <w:i w:val="false"/>
          <w:caps w:val="false"/>
          <w:smallCaps w:val="false"/>
          <w:color w:val="333333"/>
          <w:spacing w:val="0"/>
          <w:sz w:val="22"/>
          <w:szCs w:val="22"/>
        </w:rPr>
        <w:t>1500W oraz 1000W</w:t>
      </w:r>
      <w:r>
        <w:rPr>
          <w:rFonts w:ascii="ISOCPEUR" w:hAnsi="ISOCPEUR"/>
          <w:b w:val="false"/>
          <w:i w:val="false"/>
          <w:caps w:val="false"/>
          <w:smallCaps w:val="false"/>
          <w:color w:val="333333"/>
          <w:spacing w:val="0"/>
          <w:sz w:val="22"/>
          <w:szCs w:val="22"/>
        </w:rPr>
        <w:t>. Grzejnik</w:t>
      </w:r>
      <w:r>
        <w:rPr>
          <w:rFonts w:ascii="ISOCPEUR" w:hAnsi="ISOCPEUR"/>
          <w:b w:val="false"/>
          <w:i w:val="false"/>
          <w:caps w:val="false"/>
          <w:smallCaps w:val="false"/>
          <w:color w:val="333333"/>
          <w:spacing w:val="0"/>
          <w:sz w:val="22"/>
          <w:szCs w:val="22"/>
        </w:rPr>
        <w:t>i</w:t>
      </w:r>
      <w:r>
        <w:rPr>
          <w:rFonts w:ascii="ISOCPEUR" w:hAnsi="ISOCPEUR"/>
          <w:b w:val="false"/>
          <w:i w:val="false"/>
          <w:caps w:val="false"/>
          <w:smallCaps w:val="false"/>
          <w:color w:val="333333"/>
          <w:spacing w:val="0"/>
          <w:sz w:val="22"/>
          <w:szCs w:val="22"/>
        </w:rPr>
        <w:t xml:space="preserve"> montowan</w:t>
      </w:r>
      <w:r>
        <w:rPr>
          <w:rFonts w:ascii="ISOCPEUR" w:hAnsi="ISOCPEUR"/>
          <w:b w:val="false"/>
          <w:i w:val="false"/>
          <w:caps w:val="false"/>
          <w:smallCaps w:val="false"/>
          <w:color w:val="333333"/>
          <w:spacing w:val="0"/>
          <w:sz w:val="22"/>
          <w:szCs w:val="22"/>
        </w:rPr>
        <w:t>e</w:t>
      </w:r>
      <w:r>
        <w:rPr>
          <w:rFonts w:ascii="ISOCPEUR" w:hAnsi="ISOCPEUR"/>
          <w:b w:val="false"/>
          <w:i w:val="false"/>
          <w:caps w:val="false"/>
          <w:smallCaps w:val="false"/>
          <w:color w:val="333333"/>
          <w:spacing w:val="0"/>
          <w:sz w:val="22"/>
          <w:szCs w:val="22"/>
        </w:rPr>
        <w:t xml:space="preserve"> za pomocą mocowań typowych, zalecanych przez producenta. </w:t>
      </w:r>
      <w:r>
        <w:rPr>
          <w:rFonts w:ascii="ISOCPEUR" w:hAnsi="ISOCPEUR"/>
          <w:b w:val="false"/>
          <w:i w:val="false"/>
          <w:caps w:val="false"/>
          <w:smallCaps w:val="false"/>
          <w:color w:val="333333"/>
          <w:spacing w:val="0"/>
          <w:sz w:val="22"/>
          <w:szCs w:val="22"/>
        </w:rPr>
        <w:t>Każdy g</w:t>
      </w:r>
      <w:r>
        <w:rPr>
          <w:rFonts w:ascii="ISOCPEUR" w:hAnsi="ISOCPEUR"/>
          <w:b w:val="false"/>
          <w:i w:val="false"/>
          <w:caps w:val="false"/>
          <w:smallCaps w:val="false"/>
          <w:color w:val="333333"/>
          <w:spacing w:val="0"/>
          <w:sz w:val="22"/>
          <w:szCs w:val="22"/>
        </w:rPr>
        <w:t>rzejnik mocować zgodnie z instrukcją montażu producenta. Wysokość zaprojektowan</w:t>
      </w:r>
      <w:r>
        <w:rPr>
          <w:rFonts w:ascii="ISOCPEUR" w:hAnsi="ISOCPEUR"/>
          <w:b w:val="false"/>
          <w:i w:val="false"/>
          <w:caps w:val="false"/>
          <w:smallCaps w:val="false"/>
          <w:color w:val="333333"/>
          <w:spacing w:val="0"/>
          <w:kern w:val="0"/>
          <w:sz w:val="22"/>
          <w:szCs w:val="22"/>
          <w:lang w:val="pl-PL" w:eastAsia="en-US" w:bidi="ar-SA"/>
        </w:rPr>
        <w:t>ego</w:t>
      </w:r>
      <w:r>
        <w:rPr>
          <w:rFonts w:ascii="ISOCPEUR" w:hAnsi="ISOCPEUR"/>
          <w:b w:val="false"/>
          <w:i w:val="false"/>
          <w:caps w:val="false"/>
          <w:smallCaps w:val="false"/>
          <w:color w:val="333333"/>
          <w:spacing w:val="0"/>
          <w:sz w:val="22"/>
          <w:szCs w:val="22"/>
        </w:rPr>
        <w:t xml:space="preserve"> grzejnik</w:t>
      </w:r>
      <w:r>
        <w:rPr>
          <w:rFonts w:ascii="ISOCPEUR" w:hAnsi="ISOCPEUR"/>
          <w:b w:val="false"/>
          <w:i w:val="false"/>
          <w:caps w:val="false"/>
          <w:smallCaps w:val="false"/>
          <w:color w:val="333333"/>
          <w:spacing w:val="0"/>
          <w:kern w:val="0"/>
          <w:sz w:val="22"/>
          <w:szCs w:val="22"/>
          <w:lang w:val="pl-PL" w:eastAsia="en-US" w:bidi="ar-SA"/>
        </w:rPr>
        <w:t>a to</w:t>
      </w:r>
      <w:r>
        <w:rPr>
          <w:rFonts w:ascii="ISOCPEUR" w:hAnsi="ISOCPEUR"/>
          <w:b w:val="false"/>
          <w:i w:val="false"/>
          <w:caps w:val="false"/>
          <w:smallCaps w:val="false"/>
          <w:color w:val="333333"/>
          <w:spacing w:val="0"/>
          <w:sz w:val="22"/>
          <w:szCs w:val="22"/>
        </w:rPr>
        <w:t xml:space="preserve"> 500mm. Długość grzejnik</w:t>
      </w:r>
      <w:r>
        <w:rPr>
          <w:rFonts w:ascii="ISOCPEUR" w:hAnsi="ISOCPEUR"/>
          <w:b w:val="false"/>
          <w:i w:val="false"/>
          <w:caps w:val="false"/>
          <w:smallCaps w:val="false"/>
          <w:color w:val="333333"/>
          <w:spacing w:val="0"/>
          <w:kern w:val="0"/>
          <w:sz w:val="22"/>
          <w:szCs w:val="22"/>
          <w:lang w:val="pl-PL" w:eastAsia="en-US" w:bidi="ar-SA"/>
        </w:rPr>
        <w:t>a</w:t>
      </w:r>
      <w:r>
        <w:rPr>
          <w:rFonts w:ascii="ISOCPEUR" w:hAnsi="ISOCPEUR"/>
          <w:b w:val="false"/>
          <w:i w:val="false"/>
          <w:caps w:val="false"/>
          <w:smallCaps w:val="false"/>
          <w:color w:val="333333"/>
          <w:spacing w:val="0"/>
          <w:sz w:val="22"/>
          <w:szCs w:val="22"/>
        </w:rPr>
        <w:t xml:space="preserve"> wg. części rysunkowej opracowania. Grzejnik</w:t>
      </w:r>
      <w:r>
        <w:rPr>
          <w:rFonts w:ascii="ISOCPEUR" w:hAnsi="ISOCPEUR"/>
          <w:b w:val="false"/>
          <w:i w:val="false"/>
          <w:caps w:val="false"/>
          <w:smallCaps w:val="false"/>
          <w:color w:val="333333"/>
          <w:spacing w:val="0"/>
          <w:sz w:val="22"/>
          <w:szCs w:val="22"/>
        </w:rPr>
        <w:t>i</w:t>
      </w:r>
      <w:r>
        <w:rPr>
          <w:rFonts w:ascii="ISOCPEUR" w:hAnsi="ISOCPEUR"/>
          <w:b w:val="false"/>
          <w:i w:val="false"/>
          <w:caps w:val="false"/>
          <w:smallCaps w:val="false"/>
          <w:color w:val="333333"/>
          <w:spacing w:val="0"/>
          <w:sz w:val="22"/>
          <w:szCs w:val="22"/>
        </w:rPr>
        <w:t xml:space="preserve"> montować zgodnie z częścią rysunkową opracowania. </w:t>
      </w:r>
      <w:r>
        <w:rPr>
          <w:rFonts w:ascii="ISOCPEUR" w:hAnsi="ISOCPEUR"/>
          <w:b w:val="false"/>
          <w:i w:val="false"/>
          <w:caps w:val="false"/>
          <w:smallCaps w:val="false"/>
          <w:color w:val="333333"/>
          <w:spacing w:val="0"/>
          <w:sz w:val="22"/>
          <w:szCs w:val="22"/>
        </w:rPr>
        <w:t>Każdy g</w:t>
      </w:r>
      <w:r>
        <w:rPr>
          <w:rFonts w:ascii="ISOCPEUR" w:hAnsi="ISOCPEUR"/>
          <w:b w:val="false"/>
          <w:i w:val="false"/>
          <w:caps w:val="false"/>
          <w:smallCaps w:val="false"/>
          <w:color w:val="333333"/>
          <w:spacing w:val="0"/>
          <w:sz w:val="22"/>
          <w:szCs w:val="22"/>
        </w:rPr>
        <w:t>rzejnik posiada wbudowany regulator temperatury. Do pracy standardowej grzejnik ustawić na temperaturę +</w:t>
      </w:r>
      <w:r>
        <w:rPr>
          <w:rFonts w:ascii="ISOCPEUR" w:hAnsi="ISOCPEUR"/>
          <w:b w:val="false"/>
          <w:i w:val="false"/>
          <w:caps w:val="false"/>
          <w:smallCaps w:val="false"/>
          <w:color w:val="333333"/>
          <w:spacing w:val="0"/>
          <w:kern w:val="0"/>
          <w:sz w:val="22"/>
          <w:szCs w:val="22"/>
          <w:lang w:val="pl-PL" w:eastAsia="en-US" w:bidi="ar-SA"/>
        </w:rPr>
        <w:t>8</w:t>
      </w:r>
      <w:r>
        <w:rPr>
          <w:rFonts w:ascii="ISOCPEUR" w:hAnsi="ISOCPEUR"/>
          <w:b w:val="false"/>
          <w:i w:val="false"/>
          <w:caps w:val="false"/>
          <w:smallCaps w:val="false"/>
          <w:color w:val="333333"/>
          <w:spacing w:val="0"/>
          <w:sz w:val="22"/>
          <w:szCs w:val="22"/>
        </w:rPr>
        <w:t xml:space="preserve"> st. C. Należy przewidzieć zasilenie grzejnik</w:t>
      </w:r>
      <w:r>
        <w:rPr>
          <w:rFonts w:ascii="ISOCPEUR" w:hAnsi="ISOCPEUR"/>
          <w:b w:val="false"/>
          <w:i w:val="false"/>
          <w:caps w:val="false"/>
          <w:smallCaps w:val="false"/>
          <w:color w:val="333333"/>
          <w:spacing w:val="0"/>
          <w:kern w:val="0"/>
          <w:sz w:val="22"/>
          <w:szCs w:val="22"/>
          <w:lang w:val="pl-PL" w:eastAsia="en-US" w:bidi="ar-SA"/>
        </w:rPr>
        <w:t>a</w:t>
      </w:r>
      <w:r>
        <w:rPr>
          <w:rFonts w:ascii="ISOCPEUR" w:hAnsi="ISOCPEUR"/>
          <w:b w:val="false"/>
          <w:i w:val="false"/>
          <w:caps w:val="false"/>
          <w:smallCaps w:val="false"/>
          <w:color w:val="333333"/>
          <w:spacing w:val="0"/>
          <w:sz w:val="22"/>
          <w:szCs w:val="22"/>
        </w:rPr>
        <w:t xml:space="preserve"> elektryczn</w:t>
      </w:r>
      <w:r>
        <w:rPr>
          <w:rFonts w:ascii="ISOCPEUR" w:hAnsi="ISOCPEUR"/>
          <w:b w:val="false"/>
          <w:i w:val="false"/>
          <w:caps w:val="false"/>
          <w:smallCaps w:val="false"/>
          <w:color w:val="333333"/>
          <w:spacing w:val="0"/>
          <w:kern w:val="0"/>
          <w:sz w:val="22"/>
          <w:szCs w:val="22"/>
          <w:lang w:val="pl-PL" w:eastAsia="en-US" w:bidi="ar-SA"/>
        </w:rPr>
        <w:t>ego</w:t>
      </w:r>
      <w:r>
        <w:rPr>
          <w:rFonts w:ascii="ISOCPEUR" w:hAnsi="ISOCPEUR"/>
          <w:b w:val="false"/>
          <w:i w:val="false"/>
          <w:caps w:val="false"/>
          <w:smallCaps w:val="false"/>
          <w:color w:val="333333"/>
          <w:spacing w:val="0"/>
          <w:sz w:val="22"/>
          <w:szCs w:val="22"/>
        </w:rPr>
        <w:t xml:space="preserve">: napięcie zasilania 230V. </w:t>
      </w:r>
    </w:p>
    <w:p>
      <w:pPr>
        <w:pStyle w:val="Nagwek3"/>
        <w:spacing w:lineRule="auto" w:line="360"/>
        <w:rPr>
          <w:rFonts w:ascii="ISOCPEUR" w:hAnsi="ISOCPEUR"/>
        </w:rPr>
      </w:pPr>
      <w:bookmarkStart w:id="39" w:name="__RefHeading___Toc6630_147198277621"/>
      <w:bookmarkEnd w:id="39"/>
      <w:r>
        <w:rPr>
          <w:rFonts w:ascii="ISOCPEUR" w:hAnsi="ISOCPEUR"/>
          <w:b/>
          <w:bCs/>
          <w:i w:val="false"/>
          <w:caps w:val="false"/>
          <w:smallCaps w:val="false"/>
          <w:color w:val="auto"/>
          <w:spacing w:val="0"/>
          <w:kern w:val="0"/>
          <w:sz w:val="22"/>
          <w:szCs w:val="22"/>
          <w:lang w:val="pl-PL" w:eastAsia="en-US" w:bidi="ar-SA"/>
        </w:rPr>
        <w:t>INSTALACJA WOD-KAN BUDYNKU SUW</w:t>
      </w:r>
    </w:p>
    <w:p>
      <w:pPr>
        <w:pStyle w:val="Normal"/>
        <w:spacing w:lineRule="auto" w:line="360"/>
        <w:rPr>
          <w:rFonts w:ascii="ISOCPEUR" w:hAnsi="ISOCPEUR"/>
        </w:rPr>
      </w:pPr>
      <w:r>
        <w:rPr>
          <w:rFonts w:ascii="ISOCPEUR" w:hAnsi="ISOCPEUR"/>
          <w:b w:val="false"/>
          <w:bCs w:val="false"/>
          <w:i w:val="false"/>
          <w:caps w:val="false"/>
          <w:smallCaps w:val="false"/>
          <w:color w:val="auto"/>
          <w:spacing w:val="0"/>
          <w:kern w:val="0"/>
          <w:sz w:val="22"/>
          <w:szCs w:val="22"/>
          <w:lang w:val="pl-PL" w:eastAsia="en-US" w:bidi="ar-SA"/>
        </w:rPr>
        <w:t>INSTALACJA KANALIZACJI TECHNOLOGICZNEJ</w:t>
      </w:r>
    </w:p>
    <w:p>
      <w:pPr>
        <w:pStyle w:val="Normal"/>
        <w:spacing w:lineRule="auto" w:line="360"/>
        <w:rPr>
          <w:rFonts w:ascii="ISOCPEUR" w:hAnsi="ISOCPEUR"/>
        </w:rPr>
      </w:pPr>
      <w:r>
        <w:rPr>
          <w:rFonts w:ascii="ISOCPEUR" w:hAnsi="ISOCPEUR"/>
          <w:b w:val="false"/>
          <w:bCs w:val="false"/>
          <w:i w:val="false"/>
          <w:caps w:val="false"/>
          <w:smallCaps w:val="false"/>
          <w:color w:val="auto"/>
          <w:spacing w:val="0"/>
          <w:kern w:val="0"/>
          <w:sz w:val="22"/>
          <w:szCs w:val="22"/>
          <w:lang w:val="pl-PL" w:eastAsia="en-US" w:bidi="ar-SA"/>
        </w:rPr>
        <w:t xml:space="preserve">Instalację kanalizacji wykonać z rur i kształtek PVC-U, kielichowych o złączach uszczelnianych pierścieniami gumowymi. Przewody kanalizacyjne o średnicy PVC-U DN160mm układać w posadzce oraz w bruzdach ściennych ze spadkiem minimum i=1,5%. Kanał odpływowy ścieków </w:t>
      </w:r>
      <w:r>
        <w:rPr>
          <w:rFonts w:eastAsia="Segoe UI" w:cs="Tahoma" w:ascii="ISOCPEUR" w:hAnsi="ISOCPEUR"/>
          <w:b w:val="false"/>
          <w:bCs w:val="false"/>
          <w:i w:val="false"/>
          <w:caps w:val="false"/>
          <w:smallCaps w:val="false"/>
          <w:color w:val="auto"/>
          <w:spacing w:val="0"/>
          <w:kern w:val="0"/>
          <w:sz w:val="22"/>
          <w:szCs w:val="22"/>
          <w:lang w:val="pl-PL" w:eastAsia="en-US" w:bidi="ar-SA"/>
        </w:rPr>
        <w:t>sanitarno-bytowych</w:t>
      </w:r>
      <w:r>
        <w:rPr>
          <w:rFonts w:ascii="ISOCPEUR" w:hAnsi="ISOCPEUR"/>
          <w:b w:val="false"/>
          <w:bCs w:val="false"/>
          <w:i w:val="false"/>
          <w:caps w:val="false"/>
          <w:smallCaps w:val="false"/>
          <w:color w:val="auto"/>
          <w:spacing w:val="0"/>
          <w:kern w:val="0"/>
          <w:sz w:val="22"/>
          <w:szCs w:val="22"/>
          <w:lang w:val="pl-PL" w:eastAsia="en-US" w:bidi="ar-SA"/>
        </w:rPr>
        <w:t xml:space="preserve"> z instalacji </w:t>
      </w:r>
      <w:r>
        <w:rPr>
          <w:rFonts w:eastAsia="Segoe UI" w:cs="Tahoma" w:ascii="ISOCPEUR" w:hAnsi="ISOCPEUR"/>
          <w:b w:val="false"/>
          <w:bCs w:val="false"/>
          <w:i w:val="false"/>
          <w:caps w:val="false"/>
          <w:smallCaps w:val="false"/>
          <w:color w:val="auto"/>
          <w:spacing w:val="0"/>
          <w:kern w:val="0"/>
          <w:sz w:val="22"/>
          <w:szCs w:val="22"/>
          <w:lang w:val="pl-PL" w:eastAsia="en-US" w:bidi="ar-SA"/>
        </w:rPr>
        <w:t>wewnętrznej</w:t>
      </w:r>
      <w:r>
        <w:rPr>
          <w:rFonts w:ascii="ISOCPEUR" w:hAnsi="ISOCPEUR"/>
          <w:b w:val="false"/>
          <w:bCs w:val="false"/>
          <w:i w:val="false"/>
          <w:caps w:val="false"/>
          <w:smallCaps w:val="false"/>
          <w:color w:val="auto"/>
          <w:spacing w:val="0"/>
          <w:kern w:val="0"/>
          <w:sz w:val="22"/>
          <w:szCs w:val="22"/>
          <w:lang w:val="pl-PL" w:eastAsia="en-US" w:bidi="ar-SA"/>
        </w:rPr>
        <w:t xml:space="preserve">, włączony zostanie do projektowanego bezodpływowego zbiornika na ścieki o pojemności </w:t>
      </w:r>
      <w:r>
        <w:rPr>
          <w:rFonts w:ascii="ISOCPEUR" w:hAnsi="ISOCPEUR"/>
          <w:b w:val="false"/>
          <w:bCs w:val="false"/>
          <w:i w:val="false"/>
          <w:caps w:val="false"/>
          <w:smallCaps w:val="false"/>
          <w:color w:val="auto"/>
          <w:spacing w:val="0"/>
          <w:kern w:val="0"/>
          <w:sz w:val="22"/>
          <w:szCs w:val="22"/>
          <w:lang w:val="pl-PL" w:eastAsia="en-US" w:bidi="ar-SA"/>
        </w:rPr>
        <w:t>2</w:t>
      </w:r>
      <w:r>
        <w:rPr>
          <w:rFonts w:ascii="ISOCPEUR" w:hAnsi="ISOCPEUR"/>
          <w:b w:val="false"/>
          <w:bCs w:val="false"/>
          <w:i w:val="false"/>
          <w:caps w:val="false"/>
          <w:smallCaps w:val="false"/>
          <w:color w:val="auto"/>
          <w:spacing w:val="0"/>
          <w:kern w:val="0"/>
          <w:sz w:val="22"/>
          <w:szCs w:val="22"/>
          <w:lang w:val="pl-PL" w:eastAsia="en-US" w:bidi="ar-SA"/>
        </w:rPr>
        <w:t>m3 wykonanego z</w:t>
      </w:r>
      <w:r>
        <w:rPr>
          <w:rFonts w:ascii="ISOCPEUR" w:hAnsi="ISOCPEUR"/>
          <w:b w:val="false"/>
          <w:bCs w:val="false"/>
          <w:i w:val="false"/>
          <w:caps w:val="false"/>
          <w:smallCaps w:val="false"/>
          <w:color w:val="auto"/>
          <w:spacing w:val="0"/>
          <w:kern w:val="0"/>
          <w:sz w:val="22"/>
          <w:szCs w:val="22"/>
          <w:lang w:val="pl-PL" w:eastAsia="en-US" w:bidi="ar-SA"/>
        </w:rPr>
        <w:t>e</w:t>
      </w:r>
      <w:r>
        <w:rPr>
          <w:rFonts w:ascii="ISOCPEUR" w:hAnsi="ISOCPEUR"/>
          <w:b w:val="false"/>
          <w:bCs w:val="false"/>
          <w:i w:val="false"/>
          <w:caps w:val="false"/>
          <w:smallCaps w:val="false"/>
          <w:color w:val="auto"/>
          <w:spacing w:val="0"/>
          <w:kern w:val="0"/>
          <w:sz w:val="22"/>
          <w:szCs w:val="22"/>
          <w:lang w:val="pl-PL" w:eastAsia="en-US" w:bidi="ar-SA"/>
        </w:rPr>
        <w:t xml:space="preserve"> studni betonow</w:t>
      </w:r>
      <w:r>
        <w:rPr>
          <w:rFonts w:eastAsia="Segoe UI" w:cs="Tahoma" w:ascii="ISOCPEUR" w:hAnsi="ISOCPEUR"/>
          <w:b w:val="false"/>
          <w:bCs w:val="false"/>
          <w:i w:val="false"/>
          <w:caps w:val="false"/>
          <w:smallCaps w:val="false"/>
          <w:color w:val="auto"/>
          <w:spacing w:val="0"/>
          <w:kern w:val="0"/>
          <w:sz w:val="22"/>
          <w:szCs w:val="22"/>
          <w:lang w:val="pl-PL" w:eastAsia="en-US" w:bidi="ar-SA"/>
        </w:rPr>
        <w:t>ej</w:t>
      </w:r>
      <w:r>
        <w:rPr>
          <w:rFonts w:ascii="ISOCPEUR" w:hAnsi="ISOCPEUR"/>
          <w:b w:val="false"/>
          <w:bCs w:val="false"/>
          <w:i w:val="false"/>
          <w:caps w:val="false"/>
          <w:smallCaps w:val="false"/>
          <w:color w:val="auto"/>
          <w:spacing w:val="0"/>
          <w:kern w:val="0"/>
          <w:sz w:val="22"/>
          <w:szCs w:val="22"/>
          <w:lang w:val="pl-PL" w:eastAsia="en-US" w:bidi="ar-SA"/>
        </w:rPr>
        <w:t xml:space="preserve"> o średnicy DN1200mm. Studni</w:t>
      </w:r>
      <w:r>
        <w:rPr>
          <w:rFonts w:ascii="ISOCPEUR" w:hAnsi="ISOCPEUR"/>
          <w:b w:val="false"/>
          <w:bCs w:val="false"/>
          <w:i w:val="false"/>
          <w:caps w:val="false"/>
          <w:smallCaps w:val="false"/>
          <w:color w:val="auto"/>
          <w:spacing w:val="0"/>
          <w:kern w:val="0"/>
          <w:sz w:val="22"/>
          <w:szCs w:val="22"/>
          <w:lang w:val="pl-PL" w:eastAsia="en-US" w:bidi="ar-SA"/>
        </w:rPr>
        <w:t>a</w:t>
      </w:r>
      <w:r>
        <w:rPr>
          <w:rFonts w:ascii="ISOCPEUR" w:hAnsi="ISOCPEUR"/>
          <w:b w:val="false"/>
          <w:bCs w:val="false"/>
          <w:i w:val="false"/>
          <w:caps w:val="false"/>
          <w:smallCaps w:val="false"/>
          <w:color w:val="auto"/>
          <w:spacing w:val="0"/>
          <w:kern w:val="0"/>
          <w:sz w:val="22"/>
          <w:szCs w:val="22"/>
          <w:lang w:val="pl-PL" w:eastAsia="en-US" w:bidi="ar-SA"/>
        </w:rPr>
        <w:t xml:space="preserve"> o wysokości </w:t>
      </w:r>
      <w:r>
        <w:rPr>
          <w:rFonts w:eastAsia="Segoe UI" w:cs="Tahoma" w:ascii="ISOCPEUR" w:hAnsi="ISOCPEUR"/>
          <w:b w:val="false"/>
          <w:bCs w:val="false"/>
          <w:i w:val="false"/>
          <w:caps w:val="false"/>
          <w:smallCaps w:val="false"/>
          <w:color w:val="auto"/>
          <w:spacing w:val="0"/>
          <w:kern w:val="0"/>
          <w:sz w:val="22"/>
          <w:szCs w:val="22"/>
          <w:lang w:val="pl-PL" w:eastAsia="en-US" w:bidi="ar-SA"/>
        </w:rPr>
        <w:t>1,5</w:t>
      </w:r>
      <w:r>
        <w:rPr>
          <w:rFonts w:ascii="ISOCPEUR" w:hAnsi="ISOCPEUR"/>
          <w:b w:val="false"/>
          <w:bCs w:val="false"/>
          <w:i w:val="false"/>
          <w:caps w:val="false"/>
          <w:smallCaps w:val="false"/>
          <w:color w:val="auto"/>
          <w:spacing w:val="0"/>
          <w:kern w:val="0"/>
          <w:sz w:val="22"/>
          <w:szCs w:val="22"/>
          <w:lang w:val="pl-PL" w:eastAsia="en-US" w:bidi="ar-SA"/>
        </w:rPr>
        <w:t>m, należy zwieńczyć płytą z pierścieniem odciążającym oraz zamontować właz żeliwny  klasy D400, dostosowanym do obciążeń ruchem samochodowym. Rzędne włazów dopasować należy do rzędnej projektowanej nawierzchni z kostki brukowej. Kanał odpływowy ścieków technologicznych z kratki przy dozowniku chloratora, włączony zostanie do projektowanego bezodpływowego zbiornika na ścieki o pojemności 2m3. Zbiornik wykonać należy z pojedynczej studni betonowej o średnicy Dn1200mm. Zbiornik wysokości 1,5m należy zwieńczyć płytą z pierścieniem odciążającym oraz zamontować właz żeliwny klasy D400, dostosowanym do obciążeń ruchem samochodowym. Rzędną włazu dopasować należy do rzędnej projektowanej nawierzchni z kostki brukowej. Pion kanalizacyjny PCV110 zostanie wyprowadzony ponad dach budynku, jako odtworzenie istniejącej instalacji i zakończony wywiewką kanalizacyjną PCV160. Na pionie zamontować rewizję PCV110 nad posadzką pomieszczenia. Odgałęzienia przewodów odpływowych należy wykonać za pomocą trójników o kącie rozwarcia nie większym niż 45</w:t>
      </w:r>
      <w:r>
        <w:rPr>
          <w:rFonts w:ascii="ISOCPEUR" w:hAnsi="ISOCPEUR"/>
          <w:b w:val="false"/>
          <w:bCs w:val="false"/>
          <w:i w:val="false"/>
          <w:caps w:val="false"/>
          <w:smallCaps w:val="false"/>
          <w:color w:val="auto"/>
          <w:spacing w:val="0"/>
          <w:kern w:val="0"/>
          <w:sz w:val="22"/>
          <w:szCs w:val="22"/>
          <w:vertAlign w:val="superscript"/>
          <w:lang w:val="pl-PL" w:eastAsia="en-US" w:bidi="ar-SA"/>
        </w:rPr>
        <w:t>O</w:t>
      </w:r>
      <w:r>
        <w:rPr>
          <w:rFonts w:ascii="ISOCPEUR" w:hAnsi="ISOCPEUR"/>
          <w:b w:val="false"/>
          <w:bCs w:val="false"/>
          <w:i w:val="false"/>
          <w:caps w:val="false"/>
          <w:smallCaps w:val="false"/>
          <w:color w:val="auto"/>
          <w:spacing w:val="0"/>
          <w:kern w:val="0"/>
          <w:sz w:val="22"/>
          <w:szCs w:val="22"/>
          <w:lang w:val="pl-PL" w:eastAsia="en-US" w:bidi="ar-SA"/>
        </w:rPr>
        <w:t xml:space="preserve">. W miejscach przejść przewodów kanalizacyjnych przez przegrody budowlane założyć tuleje ochronne. Średnica wewnętrzna tulei ochronnej min. 5 cm większa od średnicy zewnętrznej rury kanalizacyjnej. W tulei ochronnej nie mogą znajdować się żadne połączenia przewodów. </w:t>
      </w:r>
      <w:r>
        <w:rPr>
          <w:rFonts w:eastAsia="Segoe UI" w:cs="Tahoma" w:ascii="ISOCPEUR" w:hAnsi="ISOCPEUR"/>
          <w:b w:val="false"/>
          <w:bCs w:val="false"/>
          <w:i w:val="false"/>
          <w:caps w:val="false"/>
          <w:smallCaps w:val="false"/>
          <w:color w:val="auto"/>
          <w:spacing w:val="0"/>
          <w:kern w:val="0"/>
          <w:sz w:val="22"/>
          <w:szCs w:val="22"/>
          <w:lang w:val="pl-PL" w:eastAsia="en-US" w:bidi="ar-SA"/>
        </w:rPr>
        <w:t>W</w:t>
      </w:r>
      <w:r>
        <w:rPr>
          <w:rFonts w:ascii="ISOCPEUR" w:hAnsi="ISOCPEUR"/>
          <w:b w:val="false"/>
          <w:bCs w:val="false"/>
          <w:i w:val="false"/>
          <w:caps w:val="false"/>
          <w:smallCaps w:val="false"/>
          <w:color w:val="auto"/>
          <w:spacing w:val="0"/>
          <w:kern w:val="0"/>
          <w:sz w:val="22"/>
          <w:szCs w:val="22"/>
          <w:lang w:val="pl-PL" w:eastAsia="en-US" w:bidi="ar-SA"/>
        </w:rPr>
        <w:t>pust</w:t>
      </w:r>
      <w:r>
        <w:rPr>
          <w:rFonts w:ascii="ISOCPEUR" w:hAnsi="ISOCPEUR"/>
          <w:b w:val="false"/>
          <w:bCs w:val="false"/>
          <w:i w:val="false"/>
          <w:caps w:val="false"/>
          <w:smallCaps w:val="false"/>
          <w:color w:val="auto"/>
          <w:spacing w:val="0"/>
          <w:kern w:val="0"/>
          <w:sz w:val="22"/>
          <w:szCs w:val="22"/>
          <w:lang w:val="pl-PL" w:eastAsia="en-US" w:bidi="ar-SA"/>
        </w:rPr>
        <w:t>y</w:t>
      </w:r>
      <w:r>
        <w:rPr>
          <w:rFonts w:ascii="ISOCPEUR" w:hAnsi="ISOCPEUR"/>
          <w:b w:val="false"/>
          <w:bCs w:val="false"/>
          <w:i w:val="false"/>
          <w:caps w:val="false"/>
          <w:smallCaps w:val="false"/>
          <w:color w:val="auto"/>
          <w:spacing w:val="0"/>
          <w:kern w:val="0"/>
          <w:sz w:val="22"/>
          <w:szCs w:val="22"/>
          <w:lang w:val="pl-PL" w:eastAsia="en-US" w:bidi="ar-SA"/>
        </w:rPr>
        <w:t xml:space="preserve"> podłogowe </w:t>
      </w:r>
      <w:r>
        <w:rPr>
          <w:rFonts w:ascii="ISOCPEUR" w:hAnsi="ISOCPEUR"/>
          <w:b w:val="false"/>
          <w:bCs w:val="false"/>
          <w:i w:val="false"/>
          <w:caps w:val="false"/>
          <w:smallCaps w:val="false"/>
          <w:color w:val="auto"/>
          <w:spacing w:val="0"/>
          <w:kern w:val="0"/>
          <w:sz w:val="22"/>
          <w:szCs w:val="22"/>
          <w:lang w:val="pl-PL" w:eastAsia="en-US" w:bidi="ar-SA"/>
        </w:rPr>
        <w:t>montować</w:t>
      </w:r>
      <w:r>
        <w:rPr>
          <w:rFonts w:ascii="ISOCPEUR" w:hAnsi="ISOCPEUR"/>
          <w:b w:val="false"/>
          <w:bCs w:val="false"/>
          <w:i w:val="false"/>
          <w:caps w:val="false"/>
          <w:smallCaps w:val="false"/>
          <w:color w:val="auto"/>
          <w:spacing w:val="0"/>
          <w:kern w:val="0"/>
          <w:sz w:val="22"/>
          <w:szCs w:val="22"/>
          <w:lang w:val="pl-PL" w:eastAsia="en-US" w:bidi="ar-SA"/>
        </w:rPr>
        <w:t xml:space="preserve"> z rusztem wykonanym ze stali nierdzewnej.</w:t>
      </w:r>
    </w:p>
    <w:p>
      <w:pPr>
        <w:pStyle w:val="Nagwek3"/>
        <w:spacing w:lineRule="auto" w:line="360"/>
        <w:rPr>
          <w:rFonts w:ascii="ISOCPEUR" w:hAnsi="ISOCPEUR"/>
        </w:rPr>
      </w:pPr>
      <w:bookmarkStart w:id="40" w:name="__RefHeading___Toc6630_1471982776211"/>
      <w:bookmarkEnd w:id="40"/>
      <w:r>
        <w:rPr>
          <w:rFonts w:ascii="ISOCPEUR" w:hAnsi="ISOCPEUR"/>
          <w:b/>
          <w:bCs/>
          <w:i w:val="false"/>
          <w:caps w:val="false"/>
          <w:smallCaps w:val="false"/>
          <w:color w:val="auto"/>
          <w:spacing w:val="0"/>
          <w:kern w:val="0"/>
          <w:sz w:val="22"/>
          <w:szCs w:val="22"/>
          <w:lang w:val="pl-PL" w:eastAsia="en-US" w:bidi="ar-SA"/>
        </w:rPr>
        <w:t>INSTALACJA WENTYLACJI BUDYNKU</w:t>
      </w:r>
    </w:p>
    <w:p>
      <w:pPr>
        <w:pStyle w:val="Normal"/>
        <w:spacing w:lineRule="auto" w:line="360"/>
        <w:rPr>
          <w:rFonts w:ascii="ISOCPEUR" w:hAnsi="ISOCPEUR"/>
        </w:rPr>
      </w:pPr>
      <w:r>
        <w:rPr>
          <w:rFonts w:ascii="ISOCPEUR" w:hAnsi="ISOCPEUR"/>
          <w:b w:val="false"/>
          <w:bCs w:val="false"/>
          <w:i w:val="false"/>
          <w:caps w:val="false"/>
          <w:smallCaps w:val="false"/>
          <w:color w:val="auto"/>
          <w:spacing w:val="0"/>
          <w:kern w:val="0"/>
          <w:sz w:val="22"/>
          <w:szCs w:val="22"/>
          <w:lang w:val="pl-PL" w:eastAsia="en-US" w:bidi="ar-SA"/>
        </w:rPr>
        <w:t xml:space="preserve">Zakłada się </w:t>
      </w:r>
      <w:r>
        <w:rPr>
          <w:rFonts w:eastAsia="Segoe UI" w:cs="Tahoma" w:ascii="ISOCPEUR" w:hAnsi="ISOCPEUR"/>
          <w:b w:val="false"/>
          <w:bCs w:val="false"/>
          <w:i w:val="false"/>
          <w:caps w:val="false"/>
          <w:smallCaps w:val="false"/>
          <w:color w:val="auto"/>
          <w:spacing w:val="0"/>
          <w:kern w:val="0"/>
          <w:sz w:val="22"/>
          <w:szCs w:val="22"/>
          <w:lang w:val="pl-PL" w:eastAsia="en-US" w:bidi="ar-SA"/>
        </w:rPr>
        <w:t xml:space="preserve">wentylację grawitacyjną w obiekcie poprzez nawiew i wywiew grawitacyjny (czerpnie i wyrzutnie ścienne). </w:t>
      </w:r>
      <w:r>
        <w:rPr>
          <w:rFonts w:ascii="ISOCPEUR" w:hAnsi="ISOCPEUR"/>
          <w:b w:val="false"/>
          <w:bCs w:val="false"/>
          <w:i w:val="false"/>
          <w:caps w:val="false"/>
          <w:smallCaps w:val="false"/>
          <w:color w:val="auto"/>
          <w:spacing w:val="0"/>
          <w:kern w:val="0"/>
          <w:sz w:val="22"/>
          <w:szCs w:val="22"/>
          <w:lang w:val="pl-PL" w:eastAsia="en-US" w:bidi="ar-SA"/>
        </w:rPr>
        <w:t xml:space="preserve">Wentylację wywiewną w pomieszczeniu </w:t>
      </w:r>
      <w:r>
        <w:rPr>
          <w:rFonts w:ascii="ISOCPEUR" w:hAnsi="ISOCPEUR"/>
          <w:b w:val="false"/>
          <w:bCs w:val="false"/>
          <w:i w:val="false"/>
          <w:caps w:val="false"/>
          <w:smallCaps w:val="false"/>
          <w:color w:val="auto"/>
          <w:spacing w:val="0"/>
          <w:kern w:val="0"/>
          <w:sz w:val="22"/>
          <w:szCs w:val="22"/>
          <w:lang w:val="pl-PL" w:eastAsia="en-US" w:bidi="ar-SA"/>
        </w:rPr>
        <w:t xml:space="preserve">chloratora </w:t>
      </w:r>
      <w:r>
        <w:rPr>
          <w:rFonts w:ascii="ISOCPEUR" w:hAnsi="ISOCPEUR"/>
          <w:b w:val="false"/>
          <w:bCs w:val="false"/>
          <w:i w:val="false"/>
          <w:caps w:val="false"/>
          <w:smallCaps w:val="false"/>
          <w:color w:val="auto"/>
          <w:spacing w:val="0"/>
          <w:kern w:val="0"/>
          <w:sz w:val="22"/>
          <w:szCs w:val="22"/>
          <w:lang w:val="pl-PL" w:eastAsia="en-US" w:bidi="ar-SA"/>
        </w:rPr>
        <w:t>wykonać w postaci kanału wywiewnego PVC160mm (chemoodpornego) zakończonego wentylatorem dachowym Φ160</w:t>
      </w:r>
      <w:r>
        <w:rPr>
          <w:rFonts w:eastAsia="Segoe UI" w:cs="Tahoma" w:ascii="ISOCPEUR" w:hAnsi="ISOCPEUR"/>
          <w:b w:val="false"/>
          <w:bCs w:val="false"/>
          <w:i w:val="false"/>
          <w:caps w:val="false"/>
          <w:smallCaps w:val="false"/>
          <w:color w:val="auto"/>
          <w:spacing w:val="0"/>
          <w:kern w:val="0"/>
          <w:sz w:val="22"/>
          <w:szCs w:val="22"/>
          <w:lang w:val="pl-PL" w:eastAsia="en-US" w:bidi="ar-SA"/>
        </w:rPr>
        <w:t>mm. Przyjęto 5-krotna wymianę powietrza w chlorowni.</w:t>
      </w:r>
    </w:p>
    <w:p>
      <w:pPr>
        <w:pStyle w:val="Nagwek2"/>
        <w:spacing w:lineRule="auto" w:line="360"/>
        <w:rPr>
          <w:rFonts w:ascii="ISOCPEUR" w:hAnsi="ISOCPEUR"/>
        </w:rPr>
      </w:pPr>
      <w:bookmarkStart w:id="41" w:name="__RefHeading___Toc6628_1471982776"/>
      <w:bookmarkStart w:id="42" w:name="_Toc185095279"/>
      <w:bookmarkEnd w:id="41"/>
      <w:r>
        <w:rPr>
          <w:rFonts w:ascii="ISOCPEUR" w:hAnsi="ISOCPEUR"/>
        </w:rPr>
        <w:t xml:space="preserve">Rozwiązania </w:t>
      </w:r>
      <w:bookmarkEnd w:id="42"/>
      <w:r>
        <w:rPr>
          <w:rFonts w:ascii="ISOCPEUR" w:hAnsi="ISOCPEUR"/>
          <w:b/>
          <w:bCs/>
          <w:smallCaps/>
          <w:color w:val="000000"/>
          <w:kern w:val="0"/>
          <w:sz w:val="24"/>
          <w:szCs w:val="28"/>
          <w:lang w:val="pl-PL" w:eastAsia="en-US" w:bidi="ar-SA"/>
        </w:rPr>
        <w:t>Technologiczne</w:t>
      </w:r>
    </w:p>
    <w:p>
      <w:pPr>
        <w:pStyle w:val="Tretekstu"/>
        <w:widowControl/>
        <w:suppressAutoHyphens w:val="true"/>
        <w:bidi w:val="0"/>
        <w:spacing w:lineRule="auto" w:line="360" w:before="0" w:after="120"/>
        <w:ind w:left="0" w:right="0" w:hanging="0"/>
        <w:jc w:val="left"/>
        <w:rPr>
          <w:rFonts w:ascii="ISOCPEUR" w:hAnsi="ISOCPEUR"/>
        </w:rPr>
      </w:pPr>
      <w:r>
        <w:rPr>
          <w:rFonts w:ascii="ISOCPEUR" w:hAnsi="ISOCPEUR"/>
          <w:b w:val="false"/>
          <w:bCs/>
          <w:i w:val="false"/>
          <w:caps w:val="false"/>
          <w:smallCaps w:val="false"/>
          <w:color w:val="333333"/>
          <w:spacing w:val="0"/>
          <w:sz w:val="22"/>
          <w:szCs w:val="22"/>
        </w:rPr>
        <w:t>Urządzenia w stacji uzdatniania wody zaprojektowano na wydajność Qh =</w:t>
      </w:r>
      <w:r>
        <w:rPr>
          <w:rFonts w:eastAsia="Times New Roman" w:cs="Times New Roman" w:ascii="ISOCPEUR" w:hAnsi="ISOCPEUR"/>
          <w:b w:val="false"/>
          <w:bCs/>
          <w:i w:val="false"/>
          <w:caps w:val="false"/>
          <w:smallCaps w:val="false"/>
          <w:color w:val="333333"/>
          <w:spacing w:val="0"/>
          <w:kern w:val="2"/>
          <w:sz w:val="22"/>
          <w:szCs w:val="22"/>
          <w:lang w:val="pl-PL" w:eastAsia="ar-SA" w:bidi="ar-SA"/>
        </w:rPr>
        <w:t>60,0</w:t>
      </w:r>
      <w:r>
        <w:rPr>
          <w:rFonts w:ascii="ISOCPEUR" w:hAnsi="ISOCPEUR"/>
          <w:b w:val="false"/>
          <w:bCs/>
          <w:i w:val="false"/>
          <w:caps w:val="false"/>
          <w:smallCaps w:val="false"/>
          <w:color w:val="333333"/>
          <w:spacing w:val="0"/>
          <w:sz w:val="22"/>
          <w:szCs w:val="22"/>
        </w:rPr>
        <w:t xml:space="preserve"> m3/h. Przyjęto zastosowanie następującego układu technologicznego: </w:t>
      </w:r>
    </w:p>
    <w:p>
      <w:pPr>
        <w:pStyle w:val="Tretekstu"/>
        <w:widowControl/>
        <w:suppressAutoHyphens w:val="true"/>
        <w:bidi w:val="0"/>
        <w:spacing w:lineRule="auto" w:line="360" w:before="0" w:after="120"/>
        <w:ind w:left="0" w:right="0" w:hanging="0"/>
        <w:jc w:val="left"/>
        <w:rPr>
          <w:rFonts w:ascii="ISOCPEUR" w:hAnsi="ISOCPEUR"/>
        </w:rPr>
      </w:pPr>
      <w:r>
        <w:rPr>
          <w:rFonts w:ascii="ISOCPEUR" w:hAnsi="ISOCPEUR"/>
          <w:b w:val="false"/>
          <w:bCs/>
          <w:i w:val="false"/>
          <w:caps w:val="false"/>
          <w:smallCaps w:val="false"/>
          <w:color w:val="333333"/>
          <w:spacing w:val="0"/>
          <w:sz w:val="22"/>
          <w:szCs w:val="22"/>
        </w:rPr>
        <w:t xml:space="preserve">1. Dezynfekcja </w:t>
      </w:r>
      <w:r>
        <w:rPr>
          <w:rFonts w:eastAsia="Times New Roman" w:cs="Times New Roman" w:ascii="ISOCPEUR" w:hAnsi="ISOCPEUR"/>
          <w:b w:val="false"/>
          <w:bCs/>
          <w:i w:val="false"/>
          <w:caps w:val="false"/>
          <w:smallCaps w:val="false"/>
          <w:color w:val="333333"/>
          <w:spacing w:val="0"/>
          <w:kern w:val="2"/>
          <w:sz w:val="22"/>
          <w:szCs w:val="22"/>
          <w:lang w:val="pl-PL" w:eastAsia="ar-SA" w:bidi="ar-SA"/>
        </w:rPr>
        <w:t>wody sieciowej</w:t>
      </w:r>
      <w:r>
        <w:rPr>
          <w:rFonts w:ascii="ISOCPEUR" w:hAnsi="ISOCPEUR"/>
          <w:b w:val="false"/>
          <w:bCs/>
          <w:i w:val="false"/>
          <w:caps w:val="false"/>
          <w:smallCaps w:val="false"/>
          <w:color w:val="333333"/>
          <w:spacing w:val="0"/>
          <w:kern w:val="2"/>
          <w:sz w:val="22"/>
          <w:szCs w:val="22"/>
          <w:lang w:val="pl-PL" w:eastAsia="ar-SA" w:bidi="ar-SA"/>
        </w:rPr>
        <w:t>,</w:t>
      </w:r>
    </w:p>
    <w:p>
      <w:pPr>
        <w:pStyle w:val="Tretekstu"/>
        <w:widowControl/>
        <w:suppressAutoHyphens w:val="true"/>
        <w:bidi w:val="0"/>
        <w:spacing w:lineRule="auto" w:line="360" w:before="0" w:after="120"/>
        <w:ind w:left="0" w:right="0" w:hanging="0"/>
        <w:jc w:val="left"/>
        <w:rPr>
          <w:rFonts w:ascii="ISOCPEUR" w:hAnsi="ISOCPEUR"/>
        </w:rPr>
      </w:pPr>
      <w:r>
        <w:rPr>
          <w:rFonts w:ascii="ISOCPEUR" w:hAnsi="ISOCPEUR"/>
          <w:b w:val="false"/>
          <w:bCs/>
          <w:i w:val="false"/>
          <w:caps w:val="false"/>
          <w:smallCaps w:val="false"/>
          <w:color w:val="333333"/>
          <w:spacing w:val="0"/>
          <w:sz w:val="22"/>
          <w:szCs w:val="22"/>
        </w:rPr>
        <w:t>2</w:t>
      </w:r>
      <w:r>
        <w:rPr>
          <w:rFonts w:ascii="ISOCPEUR" w:hAnsi="ISOCPEUR"/>
          <w:b w:val="false"/>
          <w:bCs/>
          <w:i w:val="false"/>
          <w:caps w:val="false"/>
          <w:smallCaps w:val="false"/>
          <w:color w:val="333333"/>
          <w:spacing w:val="0"/>
          <w:sz w:val="22"/>
          <w:szCs w:val="22"/>
        </w:rPr>
        <w:t xml:space="preserve">. </w:t>
      </w:r>
      <w:r>
        <w:rPr>
          <w:rFonts w:ascii="ISOCPEUR" w:hAnsi="ISOCPEUR"/>
          <w:b w:val="false"/>
          <w:bCs/>
          <w:i w:val="false"/>
          <w:caps w:val="false"/>
          <w:smallCaps w:val="false"/>
          <w:color w:val="333333"/>
          <w:spacing w:val="0"/>
          <w:kern w:val="2"/>
          <w:sz w:val="22"/>
          <w:szCs w:val="22"/>
          <w:lang w:val="pl-PL" w:eastAsia="ar-SA" w:bidi="ar-SA"/>
        </w:rPr>
        <w:t xml:space="preserve">Magazynowanie wody w zbiorniku wyrównawczym o poj. </w:t>
      </w:r>
      <w:r>
        <w:rPr>
          <w:rFonts w:ascii="ISOCPEUR" w:hAnsi="ISOCPEUR"/>
          <w:b w:val="false"/>
          <w:bCs/>
          <w:i w:val="false"/>
          <w:caps w:val="false"/>
          <w:smallCaps w:val="false"/>
          <w:color w:val="333333"/>
          <w:spacing w:val="0"/>
          <w:kern w:val="2"/>
          <w:sz w:val="22"/>
          <w:szCs w:val="22"/>
          <w:lang w:val="pl-PL" w:eastAsia="ar-SA" w:bidi="ar-SA"/>
        </w:rPr>
        <w:t>245</w:t>
      </w:r>
      <w:r>
        <w:rPr>
          <w:rFonts w:ascii="ISOCPEUR" w:hAnsi="ISOCPEUR"/>
          <w:b w:val="false"/>
          <w:bCs/>
          <w:i w:val="false"/>
          <w:caps w:val="false"/>
          <w:smallCaps w:val="false"/>
          <w:color w:val="333333"/>
          <w:spacing w:val="0"/>
          <w:kern w:val="2"/>
          <w:sz w:val="22"/>
          <w:szCs w:val="22"/>
          <w:lang w:val="pl-PL" w:eastAsia="ar-SA" w:bidi="ar-SA"/>
        </w:rPr>
        <w:t>m3,</w:t>
      </w:r>
    </w:p>
    <w:p>
      <w:pPr>
        <w:pStyle w:val="Tretekstu"/>
        <w:widowControl/>
        <w:suppressAutoHyphens w:val="true"/>
        <w:bidi w:val="0"/>
        <w:spacing w:lineRule="auto" w:line="360" w:before="0" w:after="120"/>
        <w:ind w:left="0" w:right="0" w:hanging="0"/>
        <w:jc w:val="left"/>
        <w:rPr>
          <w:rFonts w:ascii="ISOCPEUR" w:hAnsi="ISOCPEUR"/>
        </w:rPr>
      </w:pPr>
      <w:r>
        <w:rPr>
          <w:rFonts w:ascii="ISOCPEUR" w:hAnsi="ISOCPEUR"/>
          <w:b w:val="false"/>
          <w:bCs/>
          <w:i w:val="false"/>
          <w:caps w:val="false"/>
          <w:smallCaps w:val="false"/>
          <w:color w:val="333333"/>
          <w:spacing w:val="0"/>
          <w:kern w:val="2"/>
          <w:sz w:val="22"/>
          <w:szCs w:val="22"/>
          <w:lang w:val="pl-PL" w:eastAsia="ar-SA" w:bidi="ar-SA"/>
        </w:rPr>
        <w:t>3</w:t>
      </w:r>
      <w:r>
        <w:rPr>
          <w:rFonts w:ascii="ISOCPEUR" w:hAnsi="ISOCPEUR"/>
          <w:b w:val="false"/>
          <w:bCs/>
          <w:i w:val="false"/>
          <w:caps w:val="false"/>
          <w:smallCaps w:val="false"/>
          <w:color w:val="333333"/>
          <w:spacing w:val="0"/>
          <w:kern w:val="2"/>
          <w:sz w:val="22"/>
          <w:szCs w:val="22"/>
          <w:lang w:val="pl-PL" w:eastAsia="ar-SA" w:bidi="ar-SA"/>
        </w:rPr>
        <w:t>. Pompowanie – zestaw pompowy II stopnia,</w:t>
      </w:r>
    </w:p>
    <w:p>
      <w:pPr>
        <w:pStyle w:val="Tretekstu"/>
        <w:widowControl/>
        <w:suppressAutoHyphens w:val="true"/>
        <w:bidi w:val="0"/>
        <w:spacing w:lineRule="auto" w:line="360" w:before="0" w:after="120"/>
        <w:ind w:left="0" w:right="0" w:hanging="0"/>
        <w:jc w:val="left"/>
        <w:rPr>
          <w:b w:val="false"/>
          <w:b w:val="false"/>
          <w:bCs/>
          <w:i w:val="false"/>
          <w:i w:val="false"/>
          <w:caps w:val="false"/>
          <w:smallCaps w:val="false"/>
          <w:color w:val="333333"/>
          <w:spacing w:val="0"/>
          <w:kern w:val="2"/>
          <w:sz w:val="22"/>
          <w:szCs w:val="22"/>
          <w:lang w:val="pl-PL" w:eastAsia="ar-SA" w:bidi="ar-SA"/>
        </w:rPr>
      </w:pPr>
      <w:r>
        <w:rPr>
          <w:rFonts w:ascii="ISOCPEUR" w:hAnsi="ISOCPEUR"/>
        </w:rPr>
      </w:r>
    </w:p>
    <w:p>
      <w:pPr>
        <w:pStyle w:val="Nagwek3"/>
        <w:spacing w:lineRule="auto" w:line="360"/>
        <w:rPr>
          <w:rFonts w:ascii="ISOCPEUR" w:hAnsi="ISOCPEUR"/>
        </w:rPr>
      </w:pPr>
      <w:bookmarkStart w:id="43" w:name="__RefHeading___Toc6632_1471982776"/>
      <w:bookmarkEnd w:id="43"/>
      <w:r>
        <w:rPr>
          <w:rFonts w:ascii="ISOCPEUR" w:hAnsi="ISOCPEUR"/>
          <w:b/>
          <w:bCs/>
          <w:smallCaps/>
          <w:color w:val="000000"/>
          <w:kern w:val="0"/>
          <w:sz w:val="22"/>
          <w:szCs w:val="22"/>
          <w:lang w:val="pl-PL" w:eastAsia="en-US" w:bidi="ar-SA"/>
        </w:rPr>
        <w:t>MONTAŻ UKŁADU TECHNOLOGICZNEGO</w:t>
      </w:r>
    </w:p>
    <w:p>
      <w:pPr>
        <w:pStyle w:val="Normal"/>
        <w:spacing w:lineRule="auto" w:line="360"/>
        <w:rPr>
          <w:rFonts w:ascii="ISOCPEUR" w:hAnsi="ISOCPEUR"/>
        </w:rPr>
      </w:pPr>
      <w:r>
        <w:rPr>
          <w:rFonts w:ascii="ISOCPEUR" w:hAnsi="ISOCPEUR"/>
        </w:rPr>
        <w:t xml:space="preserve">Prefabrykacja orurowania układu technologicznego realizowana będzie w </w:t>
      </w:r>
      <w:r>
        <w:rPr>
          <w:rFonts w:ascii="ISOCPEUR" w:hAnsi="ISOCPEUR"/>
          <w:color w:val="auto"/>
          <w:kern w:val="0"/>
          <w:sz w:val="22"/>
          <w:szCs w:val="22"/>
          <w:lang w:val="pl-PL" w:eastAsia="en-US" w:bidi="ar-SA"/>
        </w:rPr>
        <w:t>całości z rur stalowych nierdzewnych.</w:t>
      </w:r>
      <w:r>
        <w:rPr>
          <w:rFonts w:ascii="ISOCPEUR" w:hAnsi="ISOCPEUR"/>
        </w:rPr>
        <w:t xml:space="preserve"> Orurowanie stacji wykonać z rur i kształtek ze stali gat. 1.4301, łączonych poprzez spawanie w technologii TIG (w osłonie gazów szlachetnych - argon). Połączenia rozłączne kołnierzowe, kołnierzami PN10 przetłaczanymi luźnymi ze stali nierdzewnej wg normy DIN 2642 z zastosowaniem śrub stalowych nierdzewnych. Rurociągi należy mocować na konstrukcji wsporczej zapewniającej odpowiednią stabilność. </w:t>
      </w:r>
    </w:p>
    <w:p>
      <w:pPr>
        <w:pStyle w:val="Normal"/>
        <w:spacing w:lineRule="auto" w:line="360"/>
        <w:rPr>
          <w:rFonts w:ascii="ISOCPEUR" w:hAnsi="ISOCPEUR"/>
        </w:rPr>
      </w:pPr>
      <w:r>
        <w:rPr>
          <w:rFonts w:ascii="ISOCPEUR" w:hAnsi="ISOCPEUR"/>
        </w:rPr>
        <w:t xml:space="preserve">Na obiekt dostarczane </w:t>
      </w:r>
      <w:r>
        <w:rPr>
          <w:rFonts w:ascii="ISOCPEUR" w:hAnsi="ISOCPEUR"/>
          <w:color w:val="auto"/>
          <w:kern w:val="0"/>
          <w:sz w:val="22"/>
          <w:szCs w:val="22"/>
          <w:lang w:val="pl-PL" w:eastAsia="en-US" w:bidi="ar-SA"/>
        </w:rPr>
        <w:t>będą</w:t>
      </w:r>
      <w:r>
        <w:rPr>
          <w:rFonts w:ascii="ISOCPEUR" w:hAnsi="ISOCPEUR"/>
        </w:rPr>
        <w:t xml:space="preserve"> kompletne urządzenia technologiczne. </w:t>
      </w:r>
    </w:p>
    <w:p>
      <w:pPr>
        <w:pStyle w:val="Normal"/>
        <w:spacing w:lineRule="auto" w:line="360"/>
        <w:jc w:val="left"/>
        <w:rPr>
          <w:rFonts w:ascii="ISOCPEUR" w:hAnsi="ISOCPEUR"/>
        </w:rPr>
      </w:pPr>
      <w:r>
        <w:rPr>
          <w:rFonts w:ascii="ISOCPEUR" w:hAnsi="ISOCPEUR"/>
        </w:rPr>
        <w:t xml:space="preserve">Wszystkie rurociągi technologiczne, kołnierze i śruby wykonane ze stali kwasoodpornej 1.4301 (X5CrNi 18-10) zgodnie z PN-EN 10088-1. Odcinki montażowe wykonać z ze stali kwasoodpornej 1.4301 X5CrNi 18-10 (1.4301) zgodnie z PN-EN 10088-1. Na kolektorach należy zamontować kołnierze luźne w wykonaniu na ciśnienie nominalne PN10 umożliwiające łatwy montaż instalacji przyłączeniowej z obu stron kolektora. </w:t>
        <w:br/>
        <w:t xml:space="preserve">Specyfikacja projektowanych rurociągów: </w:t>
        <w:br/>
        <w:t xml:space="preserve">- nominalne ciśnienie pracy PN16 </w:t>
        <w:br/>
        <w:t xml:space="preserve">- grubości ścianek: - rurociąg DN 25 – DN 200 – 2 mm. </w:t>
      </w:r>
    </w:p>
    <w:p>
      <w:pPr>
        <w:pStyle w:val="Normal"/>
        <w:spacing w:lineRule="auto" w:line="360"/>
        <w:rPr>
          <w:rFonts w:ascii="ISOCPEUR" w:hAnsi="ISOCPEUR"/>
        </w:rPr>
      </w:pPr>
      <w:r>
        <w:rPr>
          <w:rFonts w:ascii="ISOCPEUR" w:hAnsi="ISOCPEUR"/>
        </w:rPr>
      </w:r>
    </w:p>
    <w:p>
      <w:pPr>
        <w:pStyle w:val="Nagwek3"/>
        <w:spacing w:lineRule="auto" w:line="360"/>
        <w:rPr>
          <w:rFonts w:ascii="ISOCPEUR" w:hAnsi="ISOCPEUR"/>
        </w:rPr>
      </w:pPr>
      <w:bookmarkStart w:id="44" w:name="__RefHeading___Toc6634_14719827761"/>
      <w:bookmarkEnd w:id="44"/>
      <w:r>
        <w:rPr>
          <w:rFonts w:ascii="ISOCPEUR" w:hAnsi="ISOCPEUR"/>
          <w:b/>
          <w:bCs/>
          <w:smallCaps/>
          <w:color w:val="000000"/>
          <w:kern w:val="0"/>
          <w:sz w:val="22"/>
          <w:szCs w:val="22"/>
          <w:lang w:val="pl-PL" w:eastAsia="en-US" w:bidi="ar-SA"/>
        </w:rPr>
        <w:t>DEZYNFEKCJA WODY UZDATNIONEJ</w:t>
      </w:r>
      <w:r>
        <w:rPr>
          <w:rFonts w:ascii="ISOCPEUR" w:hAnsi="ISOCPEUR"/>
        </w:rPr>
        <w:t xml:space="preserve">   </w:t>
      </w:r>
    </w:p>
    <w:p>
      <w:pPr>
        <w:pStyle w:val="Normal"/>
        <w:spacing w:lineRule="auto" w:line="360"/>
        <w:jc w:val="both"/>
        <w:rPr>
          <w:rFonts w:ascii="ISOCPEUR" w:hAnsi="ISOCPEUR"/>
        </w:rPr>
      </w:pPr>
      <w:r>
        <w:rPr>
          <w:rFonts w:ascii="ISOCPEUR" w:hAnsi="ISOCPEUR"/>
          <w:color w:val="auto"/>
          <w:kern w:val="0"/>
          <w:sz w:val="22"/>
          <w:szCs w:val="22"/>
          <w:lang w:val="pl-PL" w:eastAsia="en-US" w:bidi="ar-SA"/>
        </w:rPr>
        <w:t>Dezynfekcja wody wykonywana będzie sporadycznie na wyraźne zalecenie SSE, lub w innych przypadkach tego wymagających za pomocą stacji dozującej podchloryn sodu. Roztwór podchlorynu sodu  dozowany będzie do przewodu doprowadzającego wodę do przewodu wodociągowego zasilającego bezpośrednio zewnętrzną sieć wody czystej przy pomocy stacji dozującej.</w:t>
        <w:br/>
        <w:t xml:space="preserve">Dezynfekcja wody podawanej do sieci za pomocą dozownika podchlorynu sodu. Proces dezynfekcji wody awaryjnie prowadzony będzie roztworem podchlorynu sodu 3% za pośrednictwem pompy dozującej współpracującej z nadajnikiem impulsów. Zestaw dozujący musi posiadać atest PZH na kompletne urządzenie. </w:t>
      </w:r>
    </w:p>
    <w:p>
      <w:pPr>
        <w:pStyle w:val="Normal"/>
        <w:spacing w:lineRule="auto" w:line="360"/>
        <w:jc w:val="left"/>
        <w:rPr>
          <w:rFonts w:ascii="ISOCPEUR" w:hAnsi="ISOCPEUR"/>
        </w:rPr>
      </w:pPr>
      <w:r>
        <w:rPr>
          <w:rFonts w:ascii="ISOCPEUR" w:hAnsi="ISOCPEUR"/>
          <w:color w:val="auto"/>
          <w:kern w:val="0"/>
          <w:sz w:val="22"/>
          <w:szCs w:val="22"/>
          <w:lang w:val="pl-PL" w:eastAsia="en-US" w:bidi="ar-SA"/>
        </w:rPr>
        <w:t xml:space="preserve">Projektuje się stację dozującą o parametrach: </w:t>
        <w:br/>
        <w:t xml:space="preserve">- wydajność – od 0,0 do 6,0l/h, </w:t>
        <w:br/>
        <w:t xml:space="preserve">- wysokość podnoszenia – 100,0 m sł. wody, </w:t>
        <w:br/>
        <w:t xml:space="preserve">- nominalna moc silnika pompy – 14 W. </w:t>
        <w:br/>
        <w:t xml:space="preserve">- pojemność zbiornika – 100l, </w:t>
      </w:r>
    </w:p>
    <w:p>
      <w:pPr>
        <w:pStyle w:val="Normal"/>
        <w:widowControl/>
        <w:suppressAutoHyphens w:val="true"/>
        <w:bidi w:val="0"/>
        <w:spacing w:lineRule="auto" w:line="360" w:before="0" w:after="160"/>
        <w:ind w:left="0" w:right="0" w:hanging="0"/>
        <w:jc w:val="left"/>
        <w:rPr>
          <w:rFonts w:ascii="ISOCPEUR" w:hAnsi="ISOCPEUR"/>
        </w:rPr>
      </w:pPr>
      <w:r>
        <w:rPr>
          <w:rFonts w:ascii="ISOCPEUR" w:hAnsi="ISOCPEUR"/>
          <w:color w:val="auto"/>
          <w:kern w:val="0"/>
          <w:sz w:val="22"/>
          <w:szCs w:val="22"/>
          <w:lang w:val="pl-PL" w:eastAsia="en-US" w:bidi="ar-SA"/>
        </w:rPr>
        <w:t>Stacja dozująca ustawiona zostanie w dotychczasowym pomieszczeniu stacji uzdatniania wody. W pomieszczeniu projektuje się wentylację nawiewno-grawitacyjną oraz mechaniczną wywiewną, przy użyciu wentylatora dachowego, zapewniającego 5-krotną wymianę powietrza. Na wylocie z pomieszczenia przewidziano przepustnicę samoczynną o średnicy 200mm. Nawiew realizowany grawitacyjnie czerpnią z żaluzją samoczynną umieszczoną w drzwiach. Instalacja wentylacji mechanicznej wyposażona zostanie w czujnik ruchu oraz włącznik na zewnątrz pomieszczenia. Układ taki pracuje w momencie obecności obsługi stacji. Podchloryn służący do dezynfekcji dowożony będzie tylko w</w:t>
        <w:br/>
        <w:t xml:space="preserve">wypadku konieczności dezynfekcji. </w:t>
      </w:r>
    </w:p>
    <w:p>
      <w:pPr>
        <w:pStyle w:val="Normal"/>
        <w:spacing w:lineRule="auto" w:line="360"/>
        <w:jc w:val="both"/>
        <w:rPr>
          <w:rFonts w:ascii="ISOCPEUR" w:hAnsi="ISOCPEUR"/>
        </w:rPr>
      </w:pPr>
      <w:r>
        <w:rPr>
          <w:rFonts w:ascii="ISOCPEUR" w:hAnsi="ISOCPEUR"/>
        </w:rPr>
      </w:r>
    </w:p>
    <w:p>
      <w:pPr>
        <w:pStyle w:val="Nagwek3"/>
        <w:spacing w:lineRule="auto" w:line="360"/>
        <w:jc w:val="both"/>
        <w:rPr>
          <w:rFonts w:ascii="ISOCPEUR" w:hAnsi="ISOCPEUR"/>
        </w:rPr>
      </w:pPr>
      <w:bookmarkStart w:id="45" w:name="__RefHeading___Toc6634_14719827763"/>
      <w:bookmarkStart w:id="46" w:name="_Toc1850952822"/>
      <w:bookmarkEnd w:id="45"/>
      <w:r>
        <w:rPr>
          <w:rFonts w:ascii="ISOCPEUR" w:hAnsi="ISOCPEUR"/>
          <w:b/>
          <w:bCs/>
          <w:smallCaps/>
          <w:color w:val="000000"/>
          <w:sz w:val="22"/>
          <w:szCs w:val="22"/>
        </w:rPr>
        <w:t>M</w:t>
      </w:r>
      <w:bookmarkEnd w:id="46"/>
      <w:r>
        <w:rPr>
          <w:rFonts w:eastAsia="Segoe UI" w:cs="Tahoma" w:ascii="ISOCPEUR" w:hAnsi="ISOCPEUR"/>
          <w:b/>
          <w:bCs/>
          <w:smallCaps/>
          <w:color w:val="000000"/>
          <w:kern w:val="0"/>
          <w:sz w:val="22"/>
          <w:szCs w:val="22"/>
          <w:lang w:val="pl-PL" w:eastAsia="en-US" w:bidi="ar-SA"/>
        </w:rPr>
        <w:t>AGAZYNOWANIE WODY PITNEJ</w:t>
      </w:r>
    </w:p>
    <w:p>
      <w:pPr>
        <w:pStyle w:val="Normal"/>
        <w:spacing w:lineRule="auto" w:line="360"/>
        <w:jc w:val="both"/>
        <w:rPr>
          <w:rFonts w:ascii="ISOCPEUR" w:hAnsi="ISOCPEUR"/>
        </w:rPr>
      </w:pPr>
      <w:r>
        <w:rPr>
          <w:rFonts w:ascii="ISOCPEUR" w:hAnsi="ISOCPEUR"/>
          <w:sz w:val="22"/>
          <w:szCs w:val="22"/>
        </w:rPr>
        <w:t xml:space="preserve">Dla wyrównania nierównomierności rozbioru dobowego, </w:t>
      </w:r>
      <w:r>
        <w:rPr>
          <w:rFonts w:ascii="ISOCPEUR" w:hAnsi="ISOCPEUR"/>
          <w:sz w:val="22"/>
          <w:szCs w:val="22"/>
        </w:rPr>
        <w:t>a także zwiększenia możliwości przyłączeniowych</w:t>
      </w:r>
      <w:r>
        <w:rPr>
          <w:rFonts w:ascii="ISOCPEUR" w:hAnsi="ISOCPEUR"/>
          <w:sz w:val="22"/>
          <w:szCs w:val="22"/>
        </w:rPr>
        <w:t xml:space="preserve"> </w:t>
      </w:r>
      <w:r>
        <w:rPr>
          <w:rFonts w:ascii="ISOCPEUR" w:hAnsi="ISOCPEUR"/>
          <w:sz w:val="22"/>
          <w:szCs w:val="22"/>
        </w:rPr>
        <w:t xml:space="preserve">nowych użytkowników gminy, </w:t>
      </w:r>
      <w:r>
        <w:rPr>
          <w:rFonts w:ascii="ISOCPEUR" w:hAnsi="ISOCPEUR"/>
          <w:sz w:val="22"/>
          <w:szCs w:val="22"/>
        </w:rPr>
        <w:t>przewiduje się wykonanie zbiornika wyrównawczego, uwzględniającego zapas wody na cele bytowo - gospodarcze i przeciwpożarowe. Projektuje się zbiornik wyrównawczy o pojemności V=</w:t>
      </w:r>
      <w:r>
        <w:rPr>
          <w:rFonts w:ascii="ISOCPEUR" w:hAnsi="ISOCPEUR"/>
          <w:sz w:val="22"/>
          <w:szCs w:val="22"/>
        </w:rPr>
        <w:t>245</w:t>
      </w:r>
      <w:r>
        <w:rPr>
          <w:rFonts w:ascii="ISOCPEUR" w:hAnsi="ISOCPEUR"/>
          <w:sz w:val="22"/>
          <w:szCs w:val="22"/>
        </w:rPr>
        <w:t xml:space="preserve">m3. Komorę zbiornika należy wykonać z blachy stalowej czarnej i kształtowników stalowych spawanych. Od wewnątrz komora zabezpieczona żywicami poliestrowymi. Wszystkie elementy zewnętrzne zbiornika malowane zestawem farb chlorokauczukowych. W płaszczu zbiornika umieszczony właz rewizyjny kołnierzowy z uszczelką gumową. Zabezpieczenie termiczne z płyt z wełny mineralnej o grubości 10cm osłoniętej powłoką z blachy ocynkowanej. Zbiornik od góry wyposażony w przykrycie stożkowe z zainstalowanym odpowietrzeniem zbiornika i filtrem EU3. W przykryciu zamontowany właz do serwisowania zbiornika. Zbiornik wyposażony w drabinę złazową wewnętrzną i zewnętrzną, stalową ocynkowaną. W zbiorniku zainstalowany zawór pływakowy kątowy. Instalacja wewnętrzna zbiornika : </w:t>
      </w:r>
    </w:p>
    <w:p>
      <w:pPr>
        <w:pStyle w:val="Normal"/>
        <w:spacing w:lineRule="auto" w:line="360"/>
        <w:jc w:val="both"/>
        <w:rPr>
          <w:rFonts w:ascii="ISOCPEUR" w:hAnsi="ISOCPEUR"/>
        </w:rPr>
      </w:pPr>
      <w:r>
        <w:rPr>
          <w:rFonts w:ascii="ISOCPEUR" w:hAnsi="ISOCPEUR"/>
          <w:sz w:val="22"/>
          <w:szCs w:val="22"/>
        </w:rPr>
        <w:t>- kolektor napełniający zbiornik DN100,</w:t>
      </w:r>
    </w:p>
    <w:p>
      <w:pPr>
        <w:pStyle w:val="Normal"/>
        <w:spacing w:lineRule="auto" w:line="360"/>
        <w:jc w:val="both"/>
        <w:rPr>
          <w:rFonts w:ascii="ISOCPEUR" w:hAnsi="ISOCPEUR"/>
        </w:rPr>
      </w:pPr>
      <w:r>
        <w:rPr>
          <w:rFonts w:ascii="ISOCPEUR" w:hAnsi="ISOCPEUR"/>
          <w:sz w:val="22"/>
          <w:szCs w:val="22"/>
        </w:rPr>
        <w:t>- kolektor ssący DN150,</w:t>
      </w:r>
    </w:p>
    <w:p>
      <w:pPr>
        <w:pStyle w:val="Normal"/>
        <w:spacing w:lineRule="auto" w:line="360"/>
        <w:jc w:val="both"/>
        <w:rPr>
          <w:rFonts w:ascii="ISOCPEUR" w:hAnsi="ISOCPEUR"/>
        </w:rPr>
      </w:pPr>
      <w:r>
        <w:rPr>
          <w:rFonts w:ascii="ISOCPEUR" w:hAnsi="ISOCPEUR"/>
          <w:sz w:val="22"/>
          <w:szCs w:val="22"/>
        </w:rPr>
        <w:t xml:space="preserve">- przelew DN150, </w:t>
      </w:r>
    </w:p>
    <w:p>
      <w:pPr>
        <w:pStyle w:val="Normal"/>
        <w:spacing w:lineRule="auto" w:line="360"/>
        <w:jc w:val="both"/>
        <w:rPr>
          <w:rFonts w:ascii="ISOCPEUR" w:hAnsi="ISOCPEUR"/>
        </w:rPr>
      </w:pPr>
      <w:r>
        <w:rPr>
          <w:rFonts w:ascii="ISOCPEUR" w:hAnsi="ISOCPEUR"/>
          <w:sz w:val="22"/>
          <w:szCs w:val="22"/>
        </w:rPr>
        <w:t>- spust DN150,</w:t>
      </w:r>
    </w:p>
    <w:p>
      <w:pPr>
        <w:pStyle w:val="Normal"/>
        <w:spacing w:lineRule="auto" w:line="360"/>
        <w:jc w:val="both"/>
        <w:rPr>
          <w:rFonts w:ascii="ISOCPEUR" w:hAnsi="ISOCPEUR"/>
        </w:rPr>
      </w:pPr>
      <w:r>
        <w:rPr>
          <w:rFonts w:ascii="ISOCPEUR" w:hAnsi="ISOCPEUR"/>
          <w:sz w:val="22"/>
          <w:szCs w:val="22"/>
        </w:rPr>
        <w:t xml:space="preserve">Każdy kolektor, </w:t>
      </w:r>
      <w:r>
        <w:rPr>
          <w:rFonts w:ascii="ISOCPEUR" w:hAnsi="ISOCPEUR"/>
          <w:sz w:val="22"/>
          <w:szCs w:val="22"/>
        </w:rPr>
        <w:t>o</w:t>
      </w:r>
      <w:r>
        <w:rPr>
          <w:rFonts w:ascii="ISOCPEUR" w:hAnsi="ISOCPEUR"/>
          <w:sz w:val="22"/>
          <w:szCs w:val="22"/>
        </w:rPr>
        <w:t xml:space="preserve">prócz przelewowego wyposażony zostanie w zasuwę odcinającą. Przelew i spust ze zbiornika podłączony zostanie do studzienki kanalizacyjnej. W zbiorniku zostaną zainstalowane czujniki poziomu; pływakowy i hydrostatyczny pozwalające na sterowanie zbiornikiem (zabezpieczenie przed suchobiegiem pompowni II st., zabezpieczenie przed przepełnieniem zbiorników). Kable z czujników wyprowadzić do skrzynki elektrycznej pośredniej, a następnie podłączyć do szafy sterującej pracą stacji. </w:t>
      </w:r>
    </w:p>
    <w:p>
      <w:pPr>
        <w:pStyle w:val="Normal"/>
        <w:widowControl/>
        <w:suppressAutoHyphens w:val="true"/>
        <w:bidi w:val="0"/>
        <w:spacing w:lineRule="auto" w:line="360" w:before="0" w:after="160"/>
        <w:ind w:left="0" w:right="0" w:hanging="0"/>
        <w:jc w:val="left"/>
        <w:rPr>
          <w:rFonts w:ascii="ISOCPEUR" w:hAnsi="ISOCPEUR"/>
        </w:rPr>
      </w:pPr>
      <w:r>
        <w:rPr>
          <w:rFonts w:ascii="ISOCPEUR" w:hAnsi="ISOCPEUR"/>
          <w:color w:val="auto"/>
          <w:kern w:val="0"/>
          <w:sz w:val="22"/>
          <w:szCs w:val="22"/>
          <w:lang w:val="pl-PL" w:eastAsia="en-US" w:bidi="ar-SA"/>
        </w:rPr>
        <w:br/>
        <w:t xml:space="preserve"> </w:t>
      </w:r>
    </w:p>
    <w:p>
      <w:pPr>
        <w:pStyle w:val="Normal"/>
        <w:spacing w:lineRule="auto" w:line="360"/>
        <w:rPr>
          <w:rFonts w:ascii="ISOCPEUR" w:hAnsi="ISOCPEUR"/>
        </w:rPr>
      </w:pPr>
      <w:r>
        <w:rPr>
          <w:rFonts w:ascii="ISOCPEUR" w:hAnsi="ISOCPEUR"/>
        </w:rPr>
      </w:r>
    </w:p>
    <w:p>
      <w:pPr>
        <w:pStyle w:val="Nagwek3"/>
        <w:spacing w:lineRule="auto" w:line="360"/>
        <w:rPr>
          <w:rFonts w:ascii="ISOCPEUR" w:hAnsi="ISOCPEUR"/>
        </w:rPr>
      </w:pPr>
      <w:bookmarkStart w:id="47" w:name="__RefHeading___Toc1453_9824798391"/>
      <w:bookmarkEnd w:id="47"/>
      <w:r>
        <w:rPr>
          <w:rFonts w:ascii="ISOCPEUR" w:hAnsi="ISOCPEUR"/>
          <w:b/>
          <w:bCs/>
          <w:smallCaps/>
          <w:color w:val="000000"/>
          <w:kern w:val="0"/>
          <w:sz w:val="22"/>
          <w:szCs w:val="22"/>
          <w:lang w:val="pl-PL" w:eastAsia="en-US" w:bidi="ar-SA"/>
        </w:rPr>
        <w:t>POMPOWANIE – ZESTAW POMPOWY II STOPNIA</w:t>
      </w:r>
    </w:p>
    <w:p>
      <w:pPr>
        <w:pStyle w:val="Normal"/>
        <w:spacing w:lineRule="auto" w:line="360"/>
        <w:jc w:val="both"/>
        <w:rPr>
          <w:rFonts w:ascii="ISOCPEUR" w:hAnsi="ISOCPEUR"/>
        </w:rPr>
      </w:pPr>
      <w:r>
        <w:rPr>
          <w:rFonts w:ascii="ISOCPEUR" w:hAnsi="ISOCPEUR"/>
          <w:sz w:val="22"/>
          <w:szCs w:val="22"/>
        </w:rPr>
        <w:t xml:space="preserve">Pompowanie wody do sieci wodociągowej będzie realizowane za pośrednictwem zestawu pompowego II-go stopnia. Układy zasilania i sterowania pracą pomp zestawu, zostaną zabudowane w rozdzielnicy „RZH” dostarczanej jako komplet z zestawem pompowym. Do każdej pompy zestawu II-go stopnia należy doprowadzić kabel zasilający ekranowany o typie i przekroju wg listy kablowej. </w:t>
        <w:br/>
        <w:t>Wszystkie pompy należy zabezpieczyć przed skutkami przeciążeń i zwarć za pośrednictwem wyłączników silnikowych. Podstawowym trybem sterowania pompami zestawu, jest tryb automatyczny. W tym trybie sterowanie odbywa się za pośrednictwem przetwornika ciśnienia zabudowanego na kolektorze tłocznym zestawu pompowego. Stabilizowana wielkość tzn. ciśnienie wody w sieci, zamieniana jest w tym przetworniku na standardowy sygnał prądowy 4-20mA, który doprowadzony jest do sterownika PLC w rozdzielnicy RZH. Wartość zadana ciśnienia wody na wyjściu z zestawu pompowego utrzymywana jest w funkcji zapotrzebowania (przepływu) wody, z pominięciem udziału pracowników stałej Obsługi i dozoru.</w:t>
      </w:r>
    </w:p>
    <w:p>
      <w:pPr>
        <w:pStyle w:val="Normal"/>
        <w:spacing w:lineRule="auto" w:line="360"/>
        <w:jc w:val="both"/>
        <w:rPr>
          <w:rFonts w:ascii="ISOCPEUR" w:hAnsi="ISOCPEUR"/>
        </w:rPr>
      </w:pPr>
      <w:r>
        <w:rPr>
          <w:rFonts w:ascii="ISOCPEUR" w:hAnsi="ISOCPEUR"/>
          <w:sz w:val="22"/>
          <w:szCs w:val="22"/>
        </w:rPr>
        <w:t xml:space="preserve">Wydajność zestawu regulowana jest poprzez zmianę prędkości obrotowej każdej z pomp wchodzącej w skład zestawu pompowego, za pośrednictwem przetwornicy częstotliwości oraz poprzez zmianę ilości pracujących pomp. W chwili, gdy zapotrzebowanie na wodę jest niewielkie pracuje tylko jedna pompa z taką wydajnością, jakie jest chwilowe zapotrzebowanie wody i zadane ciśnienie. Jeżeli zapotrzebowanie na wodę wzrasta - rośnie prędkość obrotowa i wydajność pompy. Jeżeli wydajność jednej pompy nie pokrywa zapotrzebowania na wodę, włącza się następna pompa. Rozruchy poszczególnych pomp przesunięte są w czasie, co uniemożliwia jednoczesny start więcej niż jednej pompy. Proces odłączania pomp, w przypadku wzrostu ciśnienia przebiega odwrotnie do procedury przedstawionej wcześniej. </w:t>
      </w:r>
    </w:p>
    <w:p>
      <w:pPr>
        <w:pStyle w:val="Normal"/>
        <w:spacing w:lineRule="auto" w:line="360"/>
        <w:jc w:val="both"/>
        <w:rPr>
          <w:rFonts w:ascii="ISOCPEUR" w:hAnsi="ISOCPEUR"/>
        </w:rPr>
      </w:pPr>
      <w:r>
        <w:rPr>
          <w:rFonts w:ascii="ISOCPEUR" w:hAnsi="ISOCPEUR"/>
          <w:sz w:val="22"/>
          <w:szCs w:val="22"/>
        </w:rPr>
        <w:t xml:space="preserve">W przypadku małych rozbiorów wody, kiedy pracuje tylko jedna pompa - sterowana z przetwornicy częstotliwości, istnieje możliwość automatycznego wyłączenia układu (przemiennik przechodzi w funkcję "uśpienia"). Ponowne uruchomienie układu następuje po obniżeniu się ciśnienia do wartości nastawionej w regulatorze. Istnieje możliwość blokady tej funkcji. Funkcja "uśpienia" pozwala na duże oszczędności energii elektrycznej w okresach małych rozbiorów wody, co w sieciach wodociągowych następuje najczęściej w godzinach nocnych. Układ sterowania pracą pomp wyposażony został w funkcję zmiany kolejności pracy napędów („autochange”), która obejmuje pompy zasilane z przetwornicy częstotliwości. Funkcja ta pozwala na zmianę kolejności startu silników wchodzących w skład zespołu pomp. Dzięki sterowaniu za pomocą systemu "autochange" okres pracy poszczególnych napędów będzie taki sam. Chroni to pompy przed ich nadmiernym zużyciem lub "zastaniem się". Zasadniczym systemem sterowania jest sterowanie automatyczne. Wybór trybu sterowania pracą pomp zestawu pompowego III-go stopnia dokonywany będzie za pomocą przełącznika 3 położeniowego opisanego jako „AUTO-0-RĘKA” dla każdej pompy. W trybie pracy automatycznej pompownia dostosowuje swoje parametry do wartości wczytanych do regulatora. W trybie „RĘKA” możliwe jest ręczne uruchomienie danej pompy bez udziału przetwornicy częstotliwości. Układ w trybie pracy automatycznej niezależnie od zabezpieczeń programowych wyposażany jest w następujące bloki zabezpieczające: </w:t>
      </w:r>
    </w:p>
    <w:p>
      <w:pPr>
        <w:pStyle w:val="Normal"/>
        <w:spacing w:lineRule="auto" w:line="360"/>
        <w:jc w:val="both"/>
        <w:rPr>
          <w:rFonts w:ascii="ISOCPEUR" w:hAnsi="ISOCPEUR"/>
        </w:rPr>
      </w:pPr>
      <w:r>
        <w:rPr>
          <w:rFonts w:ascii="ISOCPEUR" w:hAnsi="ISOCPEUR"/>
          <w:sz w:val="22"/>
          <w:szCs w:val="22"/>
        </w:rPr>
        <w:t>- zabezpieczenie pomp przed pracą na suchobiegu w zbiorniku magazynowym wody - realizowane przez pływak. Obniżenie poziomu wody poniżej poziomu suchobiegu spowoduje wyłączenie pomp zestawu pompowego II-go stopnia. Ponowne uruchomienie pomp możliwe będzie po napełnieniu zbiorników do poziomu powrotu po sucho biegu</w:t>
      </w:r>
    </w:p>
    <w:p>
      <w:pPr>
        <w:pStyle w:val="Normal"/>
        <w:spacing w:lineRule="auto" w:line="360"/>
        <w:jc w:val="both"/>
        <w:rPr>
          <w:rFonts w:ascii="ISOCPEUR" w:hAnsi="ISOCPEUR"/>
        </w:rPr>
      </w:pPr>
      <w:r>
        <w:rPr>
          <w:rFonts w:ascii="ISOCPEUR" w:hAnsi="ISOCPEUR"/>
          <w:sz w:val="22"/>
          <w:szCs w:val="22"/>
        </w:rPr>
        <w:t>- zabezpieczenie od suchobiegu w kolektorze ssawnym zestawu - realizowane przez czujnik wibracyjny</w:t>
      </w:r>
    </w:p>
    <w:p>
      <w:pPr>
        <w:pStyle w:val="Normal"/>
        <w:spacing w:lineRule="auto" w:line="360"/>
        <w:jc w:val="both"/>
        <w:rPr>
          <w:rFonts w:ascii="ISOCPEUR" w:hAnsi="ISOCPEUR"/>
        </w:rPr>
      </w:pPr>
      <w:r>
        <w:rPr>
          <w:rFonts w:ascii="ISOCPEUR" w:hAnsi="ISOCPEUR"/>
          <w:sz w:val="22"/>
          <w:szCs w:val="22"/>
        </w:rPr>
        <w:t>- zabezpieczenie przed pracą niepełno fazową oraz zanikiem napięcia zasilania - realizowane przez czujnik kolejności faz,</w:t>
      </w:r>
    </w:p>
    <w:p>
      <w:pPr>
        <w:pStyle w:val="Normal"/>
        <w:spacing w:lineRule="auto" w:line="360"/>
        <w:jc w:val="both"/>
        <w:rPr>
          <w:rFonts w:ascii="ISOCPEUR" w:hAnsi="ISOCPEUR"/>
        </w:rPr>
      </w:pPr>
      <w:r>
        <w:rPr>
          <w:rFonts w:ascii="ISOCPEUR" w:hAnsi="ISOCPEUR"/>
          <w:sz w:val="22"/>
          <w:szCs w:val="22"/>
        </w:rPr>
        <w:t>Zadziałanie tych zabezpieczeń spowoduje wyłączenie układu oraz sygnalizację na panelu operatorskim szafy RZH.</w:t>
      </w:r>
    </w:p>
    <w:p>
      <w:pPr>
        <w:pStyle w:val="Normal"/>
        <w:spacing w:lineRule="auto" w:line="360"/>
        <w:jc w:val="both"/>
        <w:rPr>
          <w:rFonts w:ascii="ISOCPEUR" w:hAnsi="ISOCPEUR"/>
        </w:rPr>
      </w:pPr>
      <w:r>
        <w:rPr>
          <w:rFonts w:ascii="ISOCPEUR" w:hAnsi="ISOCPEUR"/>
          <w:sz w:val="22"/>
          <w:szCs w:val="22"/>
        </w:rPr>
        <w:t xml:space="preserve">Gdy podczas pracy automatycznej układu nastąpi wyłączenie silnika pompy przez zabezpieczenie silnikowe, układ zostaje chwilowo zatrzymany i skonfigurowany przez regulator do pracy z mniejszą ilością pomp. Układ sterowania pracą pompowni pozwala na przejście do trybu sterowania „ręcznego”, w którym zestaw może pracować na „sztywno”. Poszczególne pompy są wówczas załączane przełącznikami umieszczonymi na drzwiach rozdzielnicy zasilająco-sterowniczej „RZH”. W tym trybie pracy wszystkie zabezpieczenia działają tak jak w pracy automatycznej. Układ w trybie pracy ręcznej został wyposażony w możliwość pracy bez udziału falownika (przejście w tryb pracy hydroforowej w przypadku awarii falownika). Praca ta polega na tym, że po załączeniu pierwszej pompy do pracy ręcznej, rozpoczyna ona pracę, a po czasie nastawionym na przekaźniku czasowym załączy się druga pompa. Układ w tym trybie sterowany jest poprzez łącznik ciśnieniowy zabudowany na kolektorze tłocznym. </w:t>
      </w:r>
    </w:p>
    <w:p>
      <w:pPr>
        <w:pStyle w:val="Nagwek3"/>
        <w:spacing w:lineRule="auto" w:line="360"/>
        <w:rPr>
          <w:rFonts w:ascii="ISOCPEUR" w:hAnsi="ISOCPEUR"/>
        </w:rPr>
      </w:pPr>
      <w:bookmarkStart w:id="48" w:name="__RefHeading___Toc6634_1471982776"/>
      <w:bookmarkStart w:id="49" w:name="_Toc185095282"/>
      <w:bookmarkEnd w:id="48"/>
      <w:r>
        <w:rPr>
          <w:rFonts w:ascii="ISOCPEUR" w:hAnsi="ISOCPEUR"/>
          <w:b/>
          <w:bCs/>
          <w:smallCaps/>
          <w:color w:val="000000"/>
        </w:rPr>
        <w:t>M</w:t>
      </w:r>
      <w:bookmarkEnd w:id="49"/>
      <w:r>
        <w:rPr>
          <w:rFonts w:ascii="ISOCPEUR" w:hAnsi="ISOCPEUR"/>
          <w:b/>
          <w:bCs/>
          <w:smallCaps/>
          <w:color w:val="000000"/>
        </w:rPr>
        <w:t>ONTAŻ OSUSZACZA POWIETRZA</w:t>
      </w:r>
      <w:r>
        <w:rPr>
          <w:rFonts w:ascii="ISOCPEUR" w:hAnsi="ISOCPEUR"/>
        </w:rPr>
        <w:t xml:space="preserve">   </w:t>
      </w:r>
    </w:p>
    <w:p>
      <w:pPr>
        <w:pStyle w:val="Normal"/>
        <w:spacing w:lineRule="auto" w:line="360"/>
        <w:rPr>
          <w:rFonts w:ascii="ISOCPEUR" w:hAnsi="ISOCPEUR"/>
        </w:rPr>
      </w:pPr>
      <w:r>
        <w:rPr>
          <w:rFonts w:ascii="ISOCPEUR" w:hAnsi="ISOCPEUR"/>
          <w:sz w:val="22"/>
          <w:szCs w:val="22"/>
        </w:rPr>
        <w:t xml:space="preserve">W celu obniżenia wilgotności w pomieszczeniu </w:t>
      </w:r>
      <w:r>
        <w:rPr>
          <w:rFonts w:eastAsia="Segoe UI" w:cs="Tahoma" w:ascii="ISOCPEUR" w:hAnsi="ISOCPEUR"/>
          <w:color w:val="auto"/>
          <w:kern w:val="0"/>
          <w:sz w:val="22"/>
          <w:szCs w:val="22"/>
          <w:lang w:val="pl-PL" w:eastAsia="en-US" w:bidi="ar-SA"/>
        </w:rPr>
        <w:t>hydroforni</w:t>
      </w:r>
      <w:r>
        <w:rPr>
          <w:rFonts w:ascii="ISOCPEUR" w:hAnsi="ISOCPEUR"/>
          <w:sz w:val="22"/>
          <w:szCs w:val="22"/>
        </w:rPr>
        <w:t>, a także zapobieganiu zjawisku wykraplania się wody, wewnątrz pomieszczenia i na urządzeniach technologicznych zaprojektowano osuszacz.</w:t>
      </w:r>
    </w:p>
    <w:p>
      <w:pPr>
        <w:pStyle w:val="Normal"/>
        <w:spacing w:lineRule="auto" w:line="240"/>
        <w:rPr>
          <w:rFonts w:ascii="ISOCPEUR" w:hAnsi="ISOCPEUR"/>
        </w:rPr>
      </w:pPr>
      <w:r>
        <w:rPr>
          <w:rFonts w:ascii="ISOCPEUR" w:hAnsi="ISOCPEUR"/>
          <w:sz w:val="22"/>
          <w:szCs w:val="22"/>
        </w:rPr>
        <w:t xml:space="preserve">PROJEKTOWANE URZĄDZENIE: </w:t>
      </w:r>
    </w:p>
    <w:p>
      <w:pPr>
        <w:pStyle w:val="ListParagraph"/>
        <w:numPr>
          <w:ilvl w:val="0"/>
          <w:numId w:val="6"/>
        </w:numPr>
        <w:spacing w:lineRule="auto" w:line="240"/>
        <w:ind w:left="720" w:right="0" w:hanging="360"/>
        <w:rPr>
          <w:rFonts w:ascii="ISOCPEUR" w:hAnsi="ISOCPEUR"/>
        </w:rPr>
      </w:pPr>
      <w:r>
        <w:rPr>
          <w:rFonts w:ascii="ISOCPEUR" w:hAnsi="ISOCPEUR"/>
          <w:sz w:val="22"/>
          <w:szCs w:val="22"/>
        </w:rPr>
        <w:t>osuszacz kondensacyjny o wydajności min. 20l/dobę,</w:t>
      </w:r>
    </w:p>
    <w:p>
      <w:pPr>
        <w:pStyle w:val="ListParagraph"/>
        <w:numPr>
          <w:ilvl w:val="0"/>
          <w:numId w:val="6"/>
        </w:numPr>
        <w:spacing w:lineRule="auto" w:line="240"/>
        <w:ind w:left="720" w:right="0" w:hanging="360"/>
        <w:rPr>
          <w:rFonts w:ascii="ISOCPEUR" w:hAnsi="ISOCPEUR"/>
        </w:rPr>
      </w:pPr>
      <w:r>
        <w:rPr>
          <w:rFonts w:ascii="ISOCPEUR" w:hAnsi="ISOCPEUR"/>
          <w:sz w:val="22"/>
          <w:szCs w:val="22"/>
        </w:rPr>
        <w:t>konstrukcja ze stali nierdzewnej,</w:t>
      </w:r>
    </w:p>
    <w:p>
      <w:pPr>
        <w:pStyle w:val="ListParagraph"/>
        <w:numPr>
          <w:ilvl w:val="0"/>
          <w:numId w:val="6"/>
        </w:numPr>
        <w:spacing w:lineRule="auto" w:line="240"/>
        <w:ind w:left="720" w:right="0" w:hanging="360"/>
        <w:rPr>
          <w:rFonts w:ascii="ISOCPEUR" w:hAnsi="ISOCPEUR"/>
        </w:rPr>
      </w:pPr>
      <w:r>
        <w:rPr>
          <w:rFonts w:ascii="ISOCPEUR" w:hAnsi="ISOCPEUR"/>
          <w:sz w:val="22"/>
          <w:szCs w:val="22"/>
        </w:rPr>
        <w:t>licznik czasu pracy,</w:t>
      </w:r>
    </w:p>
    <w:p>
      <w:pPr>
        <w:pStyle w:val="ListParagraph"/>
        <w:numPr>
          <w:ilvl w:val="0"/>
          <w:numId w:val="6"/>
        </w:numPr>
        <w:spacing w:lineRule="auto" w:line="240"/>
        <w:ind w:left="720" w:right="0" w:hanging="360"/>
        <w:rPr>
          <w:rFonts w:ascii="ISOCPEUR" w:hAnsi="ISOCPEUR"/>
        </w:rPr>
      </w:pPr>
      <w:r>
        <w:rPr>
          <w:rFonts w:ascii="ISOCPEUR" w:hAnsi="ISOCPEUR"/>
          <w:sz w:val="22"/>
          <w:szCs w:val="22"/>
        </w:rPr>
        <w:t>króciec odprowadzenia skroplin,</w:t>
      </w:r>
    </w:p>
    <w:p>
      <w:pPr>
        <w:pStyle w:val="ListParagraph"/>
        <w:numPr>
          <w:ilvl w:val="0"/>
          <w:numId w:val="6"/>
        </w:numPr>
        <w:spacing w:lineRule="auto" w:line="240"/>
        <w:ind w:left="720" w:right="0" w:hanging="360"/>
        <w:rPr>
          <w:rFonts w:ascii="ISOCPEUR" w:hAnsi="ISOCPEUR"/>
        </w:rPr>
      </w:pPr>
      <w:r>
        <w:rPr>
          <w:rFonts w:ascii="ISOCPEUR" w:hAnsi="ISOCPEUR"/>
          <w:sz w:val="22"/>
          <w:szCs w:val="22"/>
        </w:rPr>
        <w:t>max. pobór mocy 420W,</w:t>
      </w:r>
    </w:p>
    <w:p>
      <w:pPr>
        <w:pStyle w:val="ListParagraph"/>
        <w:numPr>
          <w:ilvl w:val="0"/>
          <w:numId w:val="6"/>
        </w:numPr>
        <w:spacing w:lineRule="auto" w:line="240"/>
        <w:ind w:left="720" w:right="0" w:hanging="360"/>
        <w:rPr>
          <w:rFonts w:ascii="ISOCPEUR" w:hAnsi="ISOCPEUR"/>
        </w:rPr>
      </w:pPr>
      <w:r>
        <w:rPr>
          <w:rFonts w:ascii="ISOCPEUR" w:hAnsi="ISOCPEUR"/>
          <w:color w:val="auto"/>
          <w:kern w:val="0"/>
          <w:sz w:val="22"/>
          <w:szCs w:val="22"/>
          <w:lang w:val="pl-PL" w:eastAsia="en-US" w:bidi="ar-SA"/>
        </w:rPr>
        <w:t>zasilanie 230V</w:t>
      </w:r>
    </w:p>
    <w:p>
      <w:pPr>
        <w:pStyle w:val="Nagwek3"/>
        <w:spacing w:lineRule="auto" w:line="360"/>
        <w:rPr>
          <w:rFonts w:ascii="ISOCPEUR" w:hAnsi="ISOCPEUR"/>
        </w:rPr>
      </w:pPr>
      <w:bookmarkStart w:id="50" w:name="__RefHeading___Toc6634_147198277611"/>
      <w:bookmarkEnd w:id="50"/>
      <w:r>
        <w:rPr>
          <w:rFonts w:ascii="ISOCPEUR" w:hAnsi="ISOCPEUR"/>
          <w:b/>
          <w:bCs/>
          <w:smallCaps/>
          <w:color w:val="000000"/>
          <w:kern w:val="0"/>
          <w:sz w:val="22"/>
          <w:szCs w:val="22"/>
          <w:lang w:val="pl-PL" w:eastAsia="en-US" w:bidi="ar-SA"/>
        </w:rPr>
        <w:t>ROZDZIELNICA TECHNOLOGICZNA</w:t>
      </w:r>
      <w:r>
        <w:rPr>
          <w:rFonts w:ascii="ISOCPEUR" w:hAnsi="ISOCPEUR"/>
          <w:color w:val="auto"/>
          <w:kern w:val="0"/>
          <w:sz w:val="22"/>
          <w:szCs w:val="22"/>
          <w:lang w:val="pl-PL" w:eastAsia="en-US" w:bidi="ar-SA"/>
        </w:rPr>
        <w:t xml:space="preserve"> </w:t>
      </w:r>
    </w:p>
    <w:p>
      <w:pPr>
        <w:pStyle w:val="ListParagraph"/>
        <w:spacing w:lineRule="auto" w:line="360"/>
        <w:ind w:left="0" w:right="0" w:hanging="0"/>
        <w:rPr>
          <w:rFonts w:ascii="ISOCPEUR" w:hAnsi="ISOCPEUR"/>
        </w:rPr>
      </w:pPr>
      <w:r>
        <w:rPr>
          <w:rFonts w:ascii="ISOCPEUR" w:hAnsi="ISOCPEUR"/>
        </w:rPr>
        <w:t xml:space="preserve">Rozdzielnica Technologiczna </w:t>
      </w:r>
      <w:r>
        <w:rPr>
          <w:rFonts w:ascii="ISOCPEUR" w:hAnsi="ISOCPEUR"/>
        </w:rPr>
        <w:t>wbudowana w zestaw pompowy</w:t>
      </w:r>
      <w:r>
        <w:rPr>
          <w:rFonts w:ascii="ISOCPEUR" w:hAnsi="ISOCPEUR"/>
        </w:rPr>
        <w:t xml:space="preserve"> jest rozdzielnią zawierającą urządzenia pośrednie dla elementów elektrycznych Stacji Wody. Zasilana </w:t>
      </w:r>
      <w:r>
        <w:rPr>
          <w:rFonts w:ascii="ISOCPEUR" w:hAnsi="ISOCPEUR"/>
          <w:color w:val="auto"/>
          <w:kern w:val="0"/>
          <w:sz w:val="22"/>
          <w:szCs w:val="22"/>
          <w:lang w:val="pl-PL" w:eastAsia="en-US" w:bidi="ar-SA"/>
        </w:rPr>
        <w:t>będzie</w:t>
      </w:r>
      <w:r>
        <w:rPr>
          <w:rFonts w:ascii="ISOCPEUR" w:hAnsi="ISOCPEUR"/>
        </w:rPr>
        <w:t xml:space="preserve"> z rozdzielni głównej energetycznej napięciem 3x380V. Zawiera ona w sobie zasilanie i sterowanie. Znajdują się w niej również zabezpieczenia zwarciowe, różnicowo-prądowe i zabezpieczenia termiczne dla sterowanych urządzeń. Jest ona także miejscem przyłączenia wszelkich elementów pomiarowo - kontrolnych takich jak czujnik poziomu wody, przepływomierz oraz prądowych przetworników ciśnienia. Na drzwiach rozdzielni zamontowany </w:t>
      </w:r>
      <w:r>
        <w:rPr>
          <w:rFonts w:ascii="ISOCPEUR" w:hAnsi="ISOCPEUR"/>
          <w:color w:val="auto"/>
          <w:kern w:val="0"/>
          <w:sz w:val="22"/>
          <w:szCs w:val="22"/>
          <w:lang w:val="pl-PL" w:eastAsia="en-US" w:bidi="ar-SA"/>
        </w:rPr>
        <w:t>będzie</w:t>
      </w:r>
      <w:r>
        <w:rPr>
          <w:rFonts w:ascii="ISOCPEUR" w:hAnsi="ISOCPEUR"/>
        </w:rPr>
        <w:t xml:space="preserve"> kolorowy panel dotykowy, dzięki któremu </w:t>
      </w:r>
      <w:r>
        <w:rPr>
          <w:rFonts w:ascii="ISOCPEUR" w:hAnsi="ISOCPEUR"/>
          <w:color w:val="auto"/>
          <w:kern w:val="0"/>
          <w:sz w:val="22"/>
          <w:szCs w:val="22"/>
          <w:lang w:val="pl-PL" w:eastAsia="en-US" w:bidi="ar-SA"/>
        </w:rPr>
        <w:t>będzie możliwość</w:t>
      </w:r>
      <w:r>
        <w:rPr>
          <w:rFonts w:ascii="ISOCPEUR" w:hAnsi="ISOCPEUR"/>
        </w:rPr>
        <w:t xml:space="preserve"> sterowania pracą całej stacji. </w:t>
      </w:r>
    </w:p>
    <w:p>
      <w:pPr>
        <w:pStyle w:val="ListParagraph"/>
        <w:spacing w:lineRule="auto" w:line="360"/>
        <w:ind w:left="0" w:right="0" w:hanging="0"/>
        <w:rPr>
          <w:rFonts w:ascii="ISOCPEUR" w:hAnsi="ISOCPEUR"/>
        </w:rPr>
      </w:pPr>
      <w:r>
        <w:rPr>
          <w:rFonts w:ascii="ISOCPEUR" w:hAnsi="ISOCPEUR"/>
        </w:rPr>
      </w:r>
    </w:p>
    <w:p>
      <w:pPr>
        <w:pStyle w:val="ListParagraph"/>
        <w:spacing w:lineRule="auto" w:line="240"/>
        <w:ind w:left="1440" w:right="0" w:hanging="0"/>
        <w:rPr>
          <w:rFonts w:ascii="ISOCPEUR" w:hAnsi="ISOCPEUR"/>
        </w:rPr>
      </w:pPr>
      <w:r>
        <w:rPr>
          <w:rFonts w:ascii="ISOCPEUR" w:hAnsi="ISOCPEUR"/>
        </w:rPr>
      </w:r>
    </w:p>
    <w:p>
      <w:pPr>
        <w:pStyle w:val="Nagwek1"/>
        <w:spacing w:lineRule="auto" w:line="360"/>
        <w:rPr>
          <w:rFonts w:ascii="ISOCPEUR" w:hAnsi="ISOCPEUR"/>
        </w:rPr>
      </w:pPr>
      <w:bookmarkStart w:id="51" w:name="__RefHeading___Toc6654_1471982776"/>
      <w:bookmarkStart w:id="52" w:name="_Toc185095292"/>
      <w:bookmarkStart w:id="53" w:name="_Toc183083965"/>
      <w:bookmarkStart w:id="54" w:name="_Toc170479564"/>
      <w:bookmarkEnd w:id="51"/>
      <w:r>
        <w:rPr>
          <w:rFonts w:ascii="ISOCPEUR" w:hAnsi="ISOCPEUR"/>
        </w:rPr>
        <w:t>technologia wykonania robót</w:t>
      </w:r>
      <w:bookmarkEnd w:id="52"/>
      <w:bookmarkEnd w:id="53"/>
      <w:bookmarkEnd w:id="54"/>
    </w:p>
    <w:p>
      <w:pPr>
        <w:pStyle w:val="Nagwek2"/>
        <w:spacing w:lineRule="auto" w:line="360" w:before="120" w:after="240"/>
        <w:ind w:left="578" w:right="0" w:hanging="578"/>
        <w:rPr>
          <w:rFonts w:ascii="ISOCPEUR" w:hAnsi="ISOCPEUR"/>
        </w:rPr>
      </w:pPr>
      <w:bookmarkStart w:id="55" w:name="__RefHeading___Toc6656_1471982776"/>
      <w:bookmarkStart w:id="56" w:name="_Toc185095293"/>
      <w:bookmarkStart w:id="57" w:name="_Toc183083966"/>
      <w:bookmarkStart w:id="58" w:name="_Toc170479565"/>
      <w:bookmarkEnd w:id="55"/>
      <w:r>
        <w:rPr>
          <w:rFonts w:ascii="ISOCPEUR" w:hAnsi="ISOCPEUR"/>
          <w:b/>
          <w:bCs/>
          <w:smallCaps/>
          <w:color w:val="000000"/>
          <w:sz w:val="24"/>
          <w:szCs w:val="28"/>
        </w:rPr>
        <w:t>M</w:t>
      </w:r>
      <w:bookmarkEnd w:id="56"/>
      <w:bookmarkEnd w:id="57"/>
      <w:bookmarkEnd w:id="58"/>
      <w:r>
        <w:rPr>
          <w:rFonts w:ascii="ISOCPEUR" w:hAnsi="ISOCPEUR"/>
          <w:b/>
          <w:bCs/>
          <w:smallCaps/>
          <w:color w:val="000000"/>
          <w:sz w:val="24"/>
          <w:szCs w:val="28"/>
        </w:rPr>
        <w:t>ontaż rurociągów technologicznych i armatury</w:t>
      </w:r>
    </w:p>
    <w:p>
      <w:pPr>
        <w:pStyle w:val="Normal"/>
        <w:spacing w:lineRule="auto" w:line="360"/>
        <w:rPr>
          <w:rFonts w:ascii="ISOCPEUR" w:hAnsi="ISOCPEUR"/>
        </w:rPr>
      </w:pPr>
      <w:r>
        <w:rPr>
          <w:rFonts w:ascii="ISOCPEUR" w:hAnsi="ISOCPEUR"/>
        </w:rPr>
        <w:t>Wszystkie rurociągi technologiczne, kołnierze i śruby wykonane ze stali kwasoodpornej 1.4301 (X5CrNi 18-10) zgodnie z PN-EN 10088-1. Odcinki montażowe (przyłączenie króćca wody uzdatnionej) wykonać z ze stali kwasoodpornej 1.4301 X5CrNi 18-10 (1.4301) zgodnie z PN-EN 10088-1. Na kolektorach przyłączeniowych do sterylizatora UV, należy zamontować kołnierze luźne w wykonaniu na ciśnienie nominalne PN10 umożliwiające łatwy montaż instalacji przyłączeniowej z obu stron.</w:t>
      </w:r>
    </w:p>
    <w:p>
      <w:pPr>
        <w:pStyle w:val="Normal"/>
        <w:spacing w:lineRule="auto" w:line="240"/>
        <w:rPr>
          <w:rFonts w:ascii="ISOCPEUR" w:hAnsi="ISOCPEUR"/>
        </w:rPr>
      </w:pPr>
      <w:r>
        <w:rPr>
          <w:rFonts w:ascii="ISOCPEUR" w:hAnsi="ISOCPEUR"/>
        </w:rPr>
        <w:t>Specyfikacja projektowanych rurociągów:</w:t>
      </w:r>
    </w:p>
    <w:p>
      <w:pPr>
        <w:pStyle w:val="Normal"/>
        <w:spacing w:lineRule="auto" w:line="240"/>
        <w:rPr>
          <w:rFonts w:ascii="ISOCPEUR" w:hAnsi="ISOCPEUR"/>
        </w:rPr>
      </w:pPr>
      <w:r>
        <w:rPr>
          <w:rFonts w:ascii="ISOCPEUR" w:hAnsi="ISOCPEUR"/>
        </w:rPr>
        <w:t>- nominalne ciśnienie pracy PN16</w:t>
      </w:r>
    </w:p>
    <w:p>
      <w:pPr>
        <w:pStyle w:val="Normal"/>
        <w:spacing w:lineRule="auto" w:line="240"/>
        <w:rPr>
          <w:rFonts w:ascii="ISOCPEUR" w:hAnsi="ISOCPEUR"/>
        </w:rPr>
      </w:pPr>
      <w:r>
        <w:rPr>
          <w:rFonts w:ascii="ISOCPEUR" w:hAnsi="ISOCPEUR"/>
        </w:rPr>
        <w:t>- grubości ścianek: rurociąg DN 25 – DN 200 – 2 mm</w:t>
      </w:r>
    </w:p>
    <w:p>
      <w:pPr>
        <w:pStyle w:val="Normal"/>
        <w:spacing w:lineRule="auto" w:line="360"/>
        <w:rPr>
          <w:rFonts w:ascii="ISOCPEUR" w:hAnsi="ISOCPEUR"/>
        </w:rPr>
      </w:pPr>
      <w:r>
        <w:rPr>
          <w:rFonts w:ascii="ISOCPEUR" w:hAnsi="ISOCPEUR"/>
        </w:rPr>
        <w:t xml:space="preserve">Na rurociągach w wykonaniu ze stali kwasoodpornej 1.4301, wymaga się stosowania kołnierzy łączeniowych w wykonaniu ze stali kwasoodpornej 1.4301. Kołnierze należy osadzać na rurociągach zakończonych wyobleniem jako „luźne" i łączyć za pomocą śrub w wykonaniu ze stali kwasoodpornej 1.4301 wg PE-EN 10088-1. Takie rozwiązanie zapewni odpowiednią łatwość montażu i demontażu oraz ograniczy powstawanie naprężeń przenoszonych na instalację. </w:t>
      </w:r>
    </w:p>
    <w:p>
      <w:pPr>
        <w:pStyle w:val="Normal"/>
        <w:spacing w:lineRule="auto" w:line="360"/>
        <w:rPr>
          <w:rFonts w:ascii="ISOCPEUR" w:hAnsi="ISOCPEUR"/>
        </w:rPr>
      </w:pPr>
      <w:r>
        <w:rPr>
          <w:rFonts w:ascii="ISOCPEUR" w:hAnsi="ISOCPEUR"/>
        </w:rPr>
        <w:tab/>
        <w:t xml:space="preserve">Wykonawca prac spawalniczych zobowiązany jest do posiadania i dostarczenia następujących dokumentów: </w:t>
      </w:r>
    </w:p>
    <w:p>
      <w:pPr>
        <w:pStyle w:val="Normal"/>
        <w:spacing w:lineRule="auto" w:line="240"/>
        <w:rPr>
          <w:rFonts w:ascii="ISOCPEUR" w:hAnsi="ISOCPEUR"/>
        </w:rPr>
      </w:pPr>
      <w:r>
        <w:rPr>
          <w:rFonts w:ascii="ISOCPEUR" w:hAnsi="ISOCPEUR"/>
        </w:rPr>
        <w:t xml:space="preserve">• </w:t>
      </w:r>
      <w:r>
        <w:rPr>
          <w:rFonts w:ascii="ISOCPEUR" w:hAnsi="ISOCPEUR"/>
        </w:rPr>
        <w:t>kopia certyfikatu EN-ISO 3834-2 wystawionego przez jednostkę akredytowaną i notyfikowaną;</w:t>
      </w:r>
    </w:p>
    <w:p>
      <w:pPr>
        <w:pStyle w:val="Normal"/>
        <w:spacing w:lineRule="auto" w:line="240"/>
        <w:rPr>
          <w:rFonts w:ascii="ISOCPEUR" w:hAnsi="ISOCPEUR"/>
        </w:rPr>
      </w:pPr>
      <w:r>
        <w:rPr>
          <w:rFonts w:ascii="ISOCPEUR" w:hAnsi="ISOCPEUR"/>
        </w:rPr>
        <w:t xml:space="preserve">• </w:t>
      </w:r>
      <w:r>
        <w:rPr>
          <w:rFonts w:ascii="ISOCPEUR" w:hAnsi="ISOCPEUR"/>
        </w:rPr>
        <w:t>atesty hutnicze 3.1 oraz deklaracje zgodności na materiały podstawowe i dodatkowe;</w:t>
      </w:r>
    </w:p>
    <w:p>
      <w:pPr>
        <w:pStyle w:val="Normal"/>
        <w:spacing w:lineRule="auto" w:line="240"/>
        <w:rPr>
          <w:rFonts w:ascii="ISOCPEUR" w:hAnsi="ISOCPEUR"/>
        </w:rPr>
      </w:pPr>
      <w:r>
        <w:rPr>
          <w:rFonts w:ascii="ISOCPEUR" w:hAnsi="ISOCPEUR"/>
        </w:rPr>
        <w:t xml:space="preserve">• </w:t>
      </w:r>
      <w:r>
        <w:rPr>
          <w:rFonts w:ascii="ISOCPEUR" w:hAnsi="ISOCPEUR"/>
        </w:rPr>
        <w:t xml:space="preserve">protokół/protokoły z badań wizualnych (VT); </w:t>
      </w:r>
    </w:p>
    <w:p>
      <w:pPr>
        <w:pStyle w:val="Normal"/>
        <w:spacing w:lineRule="auto" w:line="240"/>
        <w:rPr>
          <w:rFonts w:ascii="ISOCPEUR" w:hAnsi="ISOCPEUR"/>
        </w:rPr>
      </w:pPr>
      <w:r>
        <w:rPr>
          <w:rFonts w:ascii="ISOCPEUR" w:hAnsi="ISOCPEUR"/>
        </w:rPr>
        <w:t xml:space="preserve">• </w:t>
      </w:r>
      <w:r>
        <w:rPr>
          <w:rFonts w:ascii="ISOCPEUR" w:hAnsi="ISOCPEUR"/>
        </w:rPr>
        <w:t xml:space="preserve">instrukcje technologiczne spawania (WPS); </w:t>
      </w:r>
    </w:p>
    <w:p>
      <w:pPr>
        <w:pStyle w:val="Normal"/>
        <w:spacing w:lineRule="auto" w:line="240"/>
        <w:rPr>
          <w:rFonts w:ascii="ISOCPEUR" w:hAnsi="ISOCPEUR"/>
        </w:rPr>
      </w:pPr>
      <w:r>
        <w:rPr>
          <w:rFonts w:ascii="ISOCPEUR" w:hAnsi="ISOCPEUR"/>
        </w:rPr>
        <w:t xml:space="preserve">• </w:t>
      </w:r>
      <w:r>
        <w:rPr>
          <w:rFonts w:ascii="ISOCPEUR" w:hAnsi="ISOCPEUR"/>
        </w:rPr>
        <w:t xml:space="preserve">dzienniki spawania; </w:t>
      </w:r>
    </w:p>
    <w:p>
      <w:pPr>
        <w:pStyle w:val="Normal"/>
        <w:spacing w:lineRule="auto" w:line="240"/>
        <w:rPr>
          <w:rFonts w:ascii="ISOCPEUR" w:hAnsi="ISOCPEUR"/>
        </w:rPr>
      </w:pPr>
      <w:r>
        <w:rPr>
          <w:rFonts w:ascii="ISOCPEUR" w:hAnsi="ISOCPEUR"/>
        </w:rPr>
        <w:t xml:space="preserve">• </w:t>
      </w:r>
      <w:r>
        <w:rPr>
          <w:rFonts w:ascii="ISOCPEUR" w:hAnsi="ISOCPEUR"/>
        </w:rPr>
        <w:t xml:space="preserve">lista spawaczy wraz z kopią uprawnień; </w:t>
      </w:r>
    </w:p>
    <w:p>
      <w:pPr>
        <w:pStyle w:val="Normal"/>
        <w:spacing w:lineRule="auto" w:line="240"/>
        <w:rPr>
          <w:rFonts w:ascii="ISOCPEUR" w:hAnsi="ISOCPEUR"/>
        </w:rPr>
      </w:pPr>
      <w:r>
        <w:rPr>
          <w:rFonts w:ascii="ISOCPEUR" w:hAnsi="ISOCPEUR"/>
        </w:rPr>
        <w:t xml:space="preserve">• </w:t>
      </w:r>
      <w:r>
        <w:rPr>
          <w:rFonts w:ascii="ISOCPEUR" w:hAnsi="ISOCPEUR"/>
        </w:rPr>
        <w:t xml:space="preserve">lista personelu nadzoru spawalniczego wraz z kopią uprawnień; </w:t>
      </w:r>
    </w:p>
    <w:p>
      <w:pPr>
        <w:pStyle w:val="Normal"/>
        <w:spacing w:lineRule="auto" w:line="240"/>
        <w:rPr>
          <w:rFonts w:ascii="ISOCPEUR" w:hAnsi="ISOCPEUR"/>
        </w:rPr>
      </w:pPr>
      <w:r>
        <w:rPr>
          <w:rFonts w:ascii="ISOCPEUR" w:hAnsi="ISOCPEUR"/>
        </w:rPr>
        <w:t xml:space="preserve">• </w:t>
      </w:r>
      <w:r>
        <w:rPr>
          <w:rFonts w:ascii="ISOCPEUR" w:hAnsi="ISOCPEUR"/>
        </w:rPr>
        <w:t xml:space="preserve">protokół z kontroli wymiarowej konstrukcji spawanych; </w:t>
      </w:r>
    </w:p>
    <w:p>
      <w:pPr>
        <w:pStyle w:val="Normal"/>
        <w:spacing w:lineRule="auto" w:line="360"/>
        <w:rPr>
          <w:rFonts w:ascii="ISOCPEUR" w:hAnsi="ISOCPEUR"/>
        </w:rPr>
      </w:pPr>
      <w:r>
        <w:rPr>
          <w:rFonts w:ascii="ISOCPEUR" w:hAnsi="ISOCPEUR"/>
        </w:rPr>
      </w:r>
    </w:p>
    <w:p>
      <w:pPr>
        <w:pStyle w:val="Nagwek2"/>
        <w:spacing w:lineRule="auto" w:line="360" w:before="120" w:after="240"/>
        <w:ind w:left="578" w:right="0" w:hanging="578"/>
        <w:rPr>
          <w:rFonts w:ascii="ISOCPEUR" w:hAnsi="ISOCPEUR"/>
        </w:rPr>
      </w:pPr>
      <w:bookmarkStart w:id="59" w:name="__RefHeading___Toc6656_14719827761"/>
      <w:bookmarkStart w:id="60" w:name="_Toc1850952931"/>
      <w:bookmarkStart w:id="61" w:name="_Toc1830839661"/>
      <w:bookmarkStart w:id="62" w:name="_Toc1704795651"/>
      <w:bookmarkEnd w:id="59"/>
      <w:r>
        <w:rPr>
          <w:rFonts w:ascii="ISOCPEUR" w:hAnsi="ISOCPEUR"/>
          <w:b/>
          <w:bCs/>
          <w:smallCaps/>
          <w:color w:val="000000"/>
          <w:sz w:val="24"/>
          <w:szCs w:val="28"/>
        </w:rPr>
        <w:t>P</w:t>
      </w:r>
      <w:bookmarkEnd w:id="60"/>
      <w:bookmarkEnd w:id="61"/>
      <w:bookmarkEnd w:id="62"/>
      <w:r>
        <w:rPr>
          <w:rFonts w:ascii="ISOCPEUR" w:hAnsi="ISOCPEUR"/>
          <w:b/>
          <w:bCs/>
          <w:smallCaps/>
          <w:color w:val="000000"/>
          <w:sz w:val="24"/>
          <w:szCs w:val="28"/>
        </w:rPr>
        <w:t>róby i dezynfekcja</w:t>
      </w:r>
    </w:p>
    <w:p>
      <w:pPr>
        <w:pStyle w:val="Normal"/>
        <w:spacing w:lineRule="auto" w:line="360"/>
        <w:rPr>
          <w:rFonts w:ascii="ISOCPEUR" w:hAnsi="ISOCPEUR"/>
        </w:rPr>
      </w:pPr>
      <w:r>
        <w:rPr>
          <w:rFonts w:ascii="ISOCPEUR" w:hAnsi="ISOCPEUR"/>
        </w:rPr>
        <w:t xml:space="preserve">Po wykonaniu instalacji wodociągowych należy je przepłukać wodą z wodociągu, przy szybkości przepływu dostatecznej dla wypłukania wszystkich zanieczyszczeń mechanicznych. Po przepłukaniu przyłącza należy poddać próbie ciśnieniowej na ciśnienie 1,0MPa. Po przepłukaniu należy przeprowadzić dezynfekcję podchlorynem sodu. Po przeprowadzeniu dezynfekcji przyłącza należy powtórnie przepłukać wodą z wodociągu i pobrać próby do badań laboratoryjnych – analiza bakteriologiczna. </w:t>
      </w:r>
      <w:bookmarkStart w:id="63" w:name="_Hlk80191199"/>
    </w:p>
    <w:p>
      <w:pPr>
        <w:pStyle w:val="Nagwek1"/>
        <w:shd w:val="clear" w:fill="auto"/>
        <w:spacing w:lineRule="auto" w:line="360"/>
        <w:rPr>
          <w:rFonts w:ascii="ISOCPEUR" w:hAnsi="ISOCPEUR"/>
        </w:rPr>
      </w:pPr>
      <w:bookmarkStart w:id="64" w:name="__RefHeading___Toc6664_1471982776"/>
      <w:bookmarkStart w:id="65" w:name="_Toc185095297"/>
      <w:bookmarkEnd w:id="64"/>
      <w:r>
        <w:rPr>
          <w:rFonts w:ascii="ISOCPEUR" w:hAnsi="ISOCPEUR"/>
        </w:rPr>
        <w:t>Informacja dotycząca Bezpieczeństwa i Ochrony Zdrowia</w:t>
      </w:r>
      <w:bookmarkEnd w:id="65"/>
    </w:p>
    <w:p>
      <w:pPr>
        <w:pStyle w:val="Nagwek2"/>
        <w:spacing w:lineRule="auto" w:line="360"/>
        <w:rPr>
          <w:rFonts w:ascii="ISOCPEUR" w:hAnsi="ISOCPEUR"/>
        </w:rPr>
      </w:pPr>
      <w:bookmarkStart w:id="66" w:name="__RefHeading___Toc6666_1471982776"/>
      <w:bookmarkStart w:id="67" w:name="_Toc185095298"/>
      <w:bookmarkEnd w:id="66"/>
      <w:r>
        <w:rPr>
          <w:rFonts w:ascii="ISOCPEUR" w:hAnsi="ISOCPEUR"/>
        </w:rPr>
        <w:t>Elementy zagospodarowania terenu mogące powodować zagrożenie podczas prowadzenia robót</w:t>
      </w:r>
      <w:bookmarkEnd w:id="67"/>
    </w:p>
    <w:p>
      <w:pPr>
        <w:pStyle w:val="Normal"/>
        <w:spacing w:lineRule="auto" w:line="360"/>
        <w:rPr>
          <w:rFonts w:ascii="ISOCPEUR" w:hAnsi="ISOCPEUR"/>
        </w:rPr>
      </w:pPr>
      <w:r>
        <w:rPr>
          <w:rFonts w:ascii="ISOCPEUR" w:hAnsi="ISOCPEUR"/>
        </w:rPr>
        <w:t xml:space="preserve">Projektowane - nie zaprojektowano elementów zagospodarowania terenu, które mogłyby stanowić zagrożenie podczas powadzenia robót. </w:t>
      </w:r>
    </w:p>
    <w:p>
      <w:pPr>
        <w:pStyle w:val="Nagwek2"/>
        <w:spacing w:lineRule="auto" w:line="360"/>
        <w:rPr>
          <w:rFonts w:ascii="ISOCPEUR" w:hAnsi="ISOCPEUR"/>
        </w:rPr>
      </w:pPr>
      <w:bookmarkStart w:id="68" w:name="__RefHeading___Toc6668_1471982776"/>
      <w:bookmarkStart w:id="69" w:name="_Toc185095299"/>
      <w:bookmarkEnd w:id="68"/>
      <w:r>
        <w:rPr>
          <w:rFonts w:ascii="ISOCPEUR" w:hAnsi="ISOCPEUR"/>
        </w:rPr>
        <w:t>informacje dotyczące przewidzianych zagrożeń występujących podczas realizacji robót budowlanych</w:t>
      </w:r>
      <w:bookmarkEnd w:id="69"/>
    </w:p>
    <w:p>
      <w:pPr>
        <w:pStyle w:val="Tytu"/>
        <w:numPr>
          <w:ilvl w:val="0"/>
          <w:numId w:val="2"/>
        </w:numPr>
        <w:tabs>
          <w:tab w:val="clear" w:pos="708"/>
          <w:tab w:val="left" w:pos="567" w:leader="none"/>
        </w:tabs>
        <w:spacing w:lineRule="auto" w:line="360"/>
        <w:ind w:left="567" w:right="0" w:hanging="283"/>
        <w:rPr>
          <w:rFonts w:ascii="ISOCPEUR" w:hAnsi="ISOCPEUR"/>
        </w:rPr>
      </w:pPr>
      <w:r>
        <w:rPr>
          <w:rFonts w:ascii="ISOCPEUR" w:hAnsi="ISOCPEUR"/>
        </w:rPr>
        <w:t>upadek z wysokości – możliwość wystąpienia w trakcie robót na wysokości i z rusztowania.</w:t>
      </w:r>
    </w:p>
    <w:p>
      <w:pPr>
        <w:pStyle w:val="Tytu"/>
        <w:numPr>
          <w:ilvl w:val="0"/>
          <w:numId w:val="2"/>
        </w:numPr>
        <w:tabs>
          <w:tab w:val="clear" w:pos="708"/>
          <w:tab w:val="left" w:pos="567" w:leader="none"/>
        </w:tabs>
        <w:spacing w:lineRule="auto" w:line="360"/>
        <w:ind w:left="567" w:right="0" w:hanging="283"/>
        <w:rPr>
          <w:rFonts w:ascii="ISOCPEUR" w:hAnsi="ISOCPEUR"/>
        </w:rPr>
      </w:pPr>
      <w:r>
        <w:rPr>
          <w:rFonts w:ascii="ISOCPEUR" w:hAnsi="ISOCPEUR"/>
        </w:rPr>
        <w:t>mechaniczne uszkodzenia ciała – skala zagrożenia zależna od fachowości, doświadczenia i poziomu technicznego pracowników: stłuczenia, okaleczenia</w:t>
      </w:r>
    </w:p>
    <w:p>
      <w:pPr>
        <w:pStyle w:val="Tytu"/>
        <w:numPr>
          <w:ilvl w:val="0"/>
          <w:numId w:val="2"/>
        </w:numPr>
        <w:tabs>
          <w:tab w:val="clear" w:pos="708"/>
          <w:tab w:val="left" w:pos="567" w:leader="none"/>
        </w:tabs>
        <w:spacing w:lineRule="auto" w:line="360"/>
        <w:ind w:left="567" w:right="0" w:hanging="283"/>
        <w:rPr>
          <w:rFonts w:ascii="ISOCPEUR" w:hAnsi="ISOCPEUR"/>
        </w:rPr>
      </w:pPr>
      <w:r>
        <w:rPr>
          <w:rFonts w:ascii="ISOCPEUR" w:hAnsi="ISOCPEUR"/>
        </w:rPr>
        <w:t>porażenie prądem – możliwość wystąpienia przy obsłudze sprzętu i urządzeń budowlanych.</w:t>
      </w:r>
    </w:p>
    <w:p>
      <w:pPr>
        <w:pStyle w:val="Tytu"/>
        <w:numPr>
          <w:ilvl w:val="0"/>
          <w:numId w:val="2"/>
        </w:numPr>
        <w:tabs>
          <w:tab w:val="clear" w:pos="708"/>
          <w:tab w:val="left" w:pos="567" w:leader="none"/>
        </w:tabs>
        <w:spacing w:lineRule="auto" w:line="360"/>
        <w:ind w:left="567" w:right="0" w:hanging="283"/>
        <w:rPr>
          <w:rFonts w:ascii="ISOCPEUR" w:hAnsi="ISOCPEUR"/>
        </w:rPr>
      </w:pPr>
      <w:r>
        <w:rPr>
          <w:rFonts w:ascii="ISOCPEUR" w:hAnsi="ISOCPEUR"/>
        </w:rPr>
        <w:t xml:space="preserve">naświetlenie oczu – przy pracach spawalniczych </w:t>
      </w:r>
    </w:p>
    <w:p>
      <w:pPr>
        <w:pStyle w:val="Tytu"/>
        <w:numPr>
          <w:ilvl w:val="0"/>
          <w:numId w:val="2"/>
        </w:numPr>
        <w:tabs>
          <w:tab w:val="clear" w:pos="708"/>
          <w:tab w:val="left" w:pos="567" w:leader="none"/>
        </w:tabs>
        <w:spacing w:lineRule="auto" w:line="360"/>
        <w:ind w:left="567" w:right="0" w:hanging="283"/>
        <w:rPr>
          <w:rFonts w:ascii="ISOCPEUR" w:hAnsi="ISOCPEUR"/>
        </w:rPr>
      </w:pPr>
      <w:r>
        <w:rPr>
          <w:rFonts w:ascii="ISOCPEUR" w:hAnsi="ISOCPEUR"/>
        </w:rPr>
        <w:t>uszkodzenia ciała spadającymi z wysokości przedmiotami</w:t>
      </w:r>
    </w:p>
    <w:p>
      <w:pPr>
        <w:pStyle w:val="Nagwek2"/>
        <w:spacing w:lineRule="auto" w:line="360"/>
        <w:rPr>
          <w:rFonts w:ascii="ISOCPEUR" w:hAnsi="ISOCPEUR"/>
        </w:rPr>
      </w:pPr>
      <w:bookmarkStart w:id="70" w:name="__RefHeading___Toc6670_1471982776"/>
      <w:bookmarkStart w:id="71" w:name="_Toc185095300"/>
      <w:bookmarkEnd w:id="70"/>
      <w:r>
        <w:rPr>
          <w:rFonts w:ascii="ISOCPEUR" w:hAnsi="ISOCPEUR"/>
        </w:rPr>
        <w:t>Sposób prowadzenia instruktażu</w:t>
      </w:r>
      <w:bookmarkEnd w:id="71"/>
    </w:p>
    <w:p>
      <w:pPr>
        <w:pStyle w:val="Normal"/>
        <w:spacing w:lineRule="auto" w:line="360"/>
        <w:rPr>
          <w:rFonts w:ascii="ISOCPEUR" w:hAnsi="ISOCPEUR"/>
        </w:rPr>
      </w:pPr>
      <w:r>
        <w:rPr>
          <w:rFonts w:ascii="ISOCPEUR" w:hAnsi="ISOCPEUR"/>
        </w:rPr>
        <w:t>Brak robót niebezpiecznych. Wszystkie prace wymagają jedynie właściwej, podstawowej znajomości przepisów BHP i przeszkolenia określonego przepisami odrębnymi, dlatego należy precyzyjnie:</w:t>
      </w:r>
    </w:p>
    <w:p>
      <w:pPr>
        <w:pStyle w:val="Tytu"/>
        <w:numPr>
          <w:ilvl w:val="0"/>
          <w:numId w:val="2"/>
        </w:numPr>
        <w:tabs>
          <w:tab w:val="clear" w:pos="708"/>
          <w:tab w:val="left" w:pos="567" w:leader="none"/>
        </w:tabs>
        <w:spacing w:lineRule="auto" w:line="360"/>
        <w:ind w:left="567" w:right="0" w:hanging="283"/>
        <w:rPr>
          <w:rFonts w:ascii="ISOCPEUR" w:hAnsi="ISOCPEUR"/>
        </w:rPr>
      </w:pPr>
      <w:r>
        <w:rPr>
          <w:rFonts w:ascii="ISOCPEUR" w:hAnsi="ISOCPEUR"/>
        </w:rPr>
        <w:t>opracować i uzgodnić technologię wszystkich istotnych robót</w:t>
      </w:r>
    </w:p>
    <w:p>
      <w:pPr>
        <w:pStyle w:val="Tytu"/>
        <w:numPr>
          <w:ilvl w:val="0"/>
          <w:numId w:val="2"/>
        </w:numPr>
        <w:tabs>
          <w:tab w:val="clear" w:pos="708"/>
          <w:tab w:val="left" w:pos="567" w:leader="none"/>
        </w:tabs>
        <w:spacing w:lineRule="auto" w:line="360"/>
        <w:ind w:left="567" w:right="0" w:hanging="283"/>
        <w:rPr>
          <w:rFonts w:ascii="ISOCPEUR" w:hAnsi="ISOCPEUR"/>
        </w:rPr>
      </w:pPr>
      <w:r>
        <w:rPr>
          <w:rFonts w:ascii="ISOCPEUR" w:hAnsi="ISOCPEUR"/>
        </w:rPr>
        <w:t>określić wszystkie możliwe przyczyny i zakres zagrożenia</w:t>
      </w:r>
    </w:p>
    <w:p>
      <w:pPr>
        <w:pStyle w:val="Normal"/>
        <w:spacing w:lineRule="auto" w:line="360"/>
        <w:rPr>
          <w:rFonts w:ascii="ISOCPEUR" w:hAnsi="ISOCPEUR"/>
        </w:rPr>
      </w:pPr>
      <w:r>
        <w:rPr>
          <w:rFonts w:ascii="ISOCPEUR" w:hAnsi="ISOCPEUR"/>
        </w:rPr>
        <w:t>Każdy pracownik kierowany do robót szczególnie niebezpiecznych winien przejść, oprócz obowiązkowych szkoleń BHP, odpowiedni instruktaż poprzedzający przystąpienie do robót niebezpiecznych o danym profilu zagrożeń. Instruktaż związany z robotami szczególnie niebezpiecznymi powinien zapewnić wiadomości i praktyczne umiejętności z zakresu bezpiecznego wykonywania powierzonej pracy.</w:t>
      </w:r>
    </w:p>
    <w:p>
      <w:pPr>
        <w:pStyle w:val="Nagwek2"/>
        <w:spacing w:lineRule="auto" w:line="360"/>
        <w:rPr>
          <w:rFonts w:ascii="ISOCPEUR" w:hAnsi="ISOCPEUR"/>
        </w:rPr>
      </w:pPr>
      <w:bookmarkStart w:id="72" w:name="__RefHeading___Toc6672_1471982776"/>
      <w:bookmarkStart w:id="73" w:name="_Toc185095301"/>
      <w:bookmarkEnd w:id="72"/>
      <w:r>
        <w:rPr>
          <w:rFonts w:ascii="ISOCPEUR" w:hAnsi="ISOCPEUR"/>
        </w:rPr>
        <w:t>Środki techniczne i organizacyjne zapobiegające niebezpieczeństwom wynikającym z wykonania robót budowlanych</w:t>
      </w:r>
      <w:bookmarkEnd w:id="73"/>
    </w:p>
    <w:p>
      <w:pPr>
        <w:pStyle w:val="Tytu"/>
        <w:numPr>
          <w:ilvl w:val="0"/>
          <w:numId w:val="2"/>
        </w:numPr>
        <w:spacing w:lineRule="auto" w:line="360"/>
        <w:ind w:left="567" w:right="0" w:hanging="360"/>
        <w:rPr>
          <w:rFonts w:ascii="ISOCPEUR" w:hAnsi="ISOCPEUR"/>
        </w:rPr>
      </w:pPr>
      <w:r>
        <w:rPr>
          <w:rFonts w:ascii="ISOCPEUR" w:hAnsi="ISOCPEUR"/>
        </w:rPr>
        <w:t>stosować przepisy BHP dla budownictwa i poszczególnych rodzajów robót.</w:t>
      </w:r>
    </w:p>
    <w:p>
      <w:pPr>
        <w:pStyle w:val="Tytu"/>
        <w:numPr>
          <w:ilvl w:val="0"/>
          <w:numId w:val="2"/>
        </w:numPr>
        <w:spacing w:lineRule="auto" w:line="360"/>
        <w:ind w:left="567" w:right="0" w:hanging="360"/>
        <w:rPr>
          <w:rFonts w:ascii="ISOCPEUR" w:hAnsi="ISOCPEUR"/>
        </w:rPr>
      </w:pPr>
      <w:r>
        <w:rPr>
          <w:rFonts w:ascii="ISOCPEUR" w:hAnsi="ISOCPEUR"/>
        </w:rPr>
        <w:t>wykonać bariery ochronne – wydzielenie strefy robót oraz wszystkich różnic poziomów powyżej 0,5m.</w:t>
      </w:r>
    </w:p>
    <w:p>
      <w:pPr>
        <w:pStyle w:val="Tytu"/>
        <w:numPr>
          <w:ilvl w:val="0"/>
          <w:numId w:val="2"/>
        </w:numPr>
        <w:spacing w:lineRule="auto" w:line="360"/>
        <w:ind w:left="567" w:right="0" w:hanging="360"/>
        <w:rPr>
          <w:rFonts w:ascii="ISOCPEUR" w:hAnsi="ISOCPEUR"/>
        </w:rPr>
      </w:pPr>
      <w:r>
        <w:rPr>
          <w:rFonts w:ascii="ISOCPEUR" w:hAnsi="ISOCPEUR"/>
        </w:rPr>
        <w:t>bezwzględnie wydzielić wszystkie stanowiska pracy sprzętu zmechanizowanego z zachowaniem odpowiedniej strefy bezpieczeństwa.</w:t>
      </w:r>
    </w:p>
    <w:p>
      <w:pPr>
        <w:pStyle w:val="Tytu"/>
        <w:numPr>
          <w:ilvl w:val="0"/>
          <w:numId w:val="2"/>
        </w:numPr>
        <w:spacing w:lineRule="auto" w:line="360"/>
        <w:ind w:left="567" w:right="0" w:hanging="360"/>
        <w:rPr>
          <w:rFonts w:ascii="ISOCPEUR" w:hAnsi="ISOCPEUR"/>
        </w:rPr>
      </w:pPr>
      <w:r>
        <w:rPr>
          <w:rFonts w:ascii="ISOCPEUR" w:hAnsi="ISOCPEUR"/>
        </w:rPr>
        <w:t>bezwzględnie wydzielić teren robót w sposób uniemożliwiający dostęp osób postronnych.</w:t>
      </w:r>
    </w:p>
    <w:p>
      <w:pPr>
        <w:pStyle w:val="Tytu"/>
        <w:numPr>
          <w:ilvl w:val="0"/>
          <w:numId w:val="2"/>
        </w:numPr>
        <w:spacing w:lineRule="auto" w:line="360"/>
        <w:ind w:left="567" w:right="0" w:hanging="360"/>
        <w:rPr>
          <w:rFonts w:ascii="ISOCPEUR" w:hAnsi="ISOCPEUR"/>
        </w:rPr>
      </w:pPr>
      <w:r>
        <w:rPr>
          <w:rFonts w:ascii="ISOCPEUR" w:hAnsi="ISOCPEUR"/>
        </w:rPr>
        <w:t>stosować wyłącznie sprzęt sprawny i atestowany.</w:t>
      </w:r>
    </w:p>
    <w:p>
      <w:pPr>
        <w:pStyle w:val="Tytu"/>
        <w:numPr>
          <w:ilvl w:val="0"/>
          <w:numId w:val="2"/>
        </w:numPr>
        <w:spacing w:lineRule="auto" w:line="360"/>
        <w:ind w:left="567" w:right="0" w:hanging="360"/>
        <w:rPr>
          <w:rFonts w:ascii="ISOCPEUR" w:hAnsi="ISOCPEUR"/>
        </w:rPr>
      </w:pPr>
      <w:r>
        <w:rPr>
          <w:rFonts w:ascii="ISOCPEUR" w:hAnsi="ISOCPEUR"/>
        </w:rPr>
        <w:t>opracować plan organizacji robót i placu budowy; dojazdy, składowiska bezwzględnie używać sprzęt ochronny, właściwy dla danego rodzaju prac.</w:t>
      </w:r>
    </w:p>
    <w:p>
      <w:pPr>
        <w:pStyle w:val="Tytu"/>
        <w:numPr>
          <w:ilvl w:val="0"/>
          <w:numId w:val="2"/>
        </w:numPr>
        <w:spacing w:lineRule="auto" w:line="360"/>
        <w:ind w:left="567" w:right="0" w:hanging="360"/>
        <w:rPr>
          <w:rFonts w:ascii="ISOCPEUR" w:hAnsi="ISOCPEUR"/>
        </w:rPr>
      </w:pPr>
      <w:r>
        <w:rPr>
          <w:rFonts w:ascii="ISOCPEUR" w:hAnsi="ISOCPEUR"/>
        </w:rPr>
        <w:t>podczas prac zachować wymogi PPOŻ.</w:t>
      </w:r>
    </w:p>
    <w:p>
      <w:pPr>
        <w:pStyle w:val="Nagwek1"/>
        <w:spacing w:lineRule="auto" w:line="360"/>
        <w:rPr>
          <w:rFonts w:ascii="ISOCPEUR" w:hAnsi="ISOCPEUR"/>
        </w:rPr>
      </w:pPr>
      <w:bookmarkStart w:id="74" w:name="__RefHeading___Toc6674_1471982776"/>
      <w:bookmarkStart w:id="75" w:name="_Toc185095302"/>
      <w:bookmarkStart w:id="76" w:name="_Toc90976289"/>
      <w:bookmarkStart w:id="77" w:name="_Toc79231813"/>
      <w:bookmarkEnd w:id="63"/>
      <w:bookmarkEnd w:id="74"/>
      <w:r>
        <w:rPr>
          <w:rFonts w:ascii="ISOCPEUR" w:hAnsi="ISOCPEUR"/>
        </w:rPr>
        <w:t>UWAGI KOŃCOWE</w:t>
      </w:r>
      <w:bookmarkEnd w:id="75"/>
      <w:bookmarkEnd w:id="76"/>
      <w:bookmarkEnd w:id="77"/>
    </w:p>
    <w:p>
      <w:pPr>
        <w:pStyle w:val="Tytu"/>
        <w:numPr>
          <w:ilvl w:val="0"/>
          <w:numId w:val="2"/>
        </w:numPr>
        <w:tabs>
          <w:tab w:val="clear" w:pos="708"/>
          <w:tab w:val="left" w:pos="567" w:leader="none"/>
        </w:tabs>
        <w:spacing w:lineRule="auto" w:line="360"/>
        <w:ind w:left="567" w:right="0" w:hanging="283"/>
        <w:rPr>
          <w:rFonts w:ascii="ISOCPEUR" w:hAnsi="ISOCPEUR"/>
        </w:rPr>
      </w:pPr>
      <w:r>
        <w:rPr>
          <w:rFonts w:ascii="ISOCPEUR" w:hAnsi="ISOCPEUR"/>
        </w:rPr>
        <w:t>w projekcie zastosowano wyłącznie materiały budowlane posiadające aktualne krajowe lub europejskie aprobaty techniczne i świadectwa dopuszczenia, zgodnie z rozporządzeniem Ministra Spraw Wewnętrznych i Administracji z dnia 20 czerwca 2007 r. w sprawie wykazu wyrobów służących zapewnieniu bezpieczeństwa publicznego lub ochronie zdrowia i życia oraz mienia, a także zasad wydawania dopuszczenia tych wyrobów do użytkowania (Dz. U. Nr 143, poz. 1002, z późniejszymi zmianami) oraz z rozporządzeniem Ministra Infrastruktury i Budownictwa z dnia 17 listopada 2016 r. w sprawie sposobów deklarowania właściwości użytkowych  wyrobów budowlanych oraz sposobu znakowania ich znakiem budowlanym (Dz. U. 2016, poz. 196 z późniejszymi zmianami).</w:t>
      </w:r>
    </w:p>
    <w:p>
      <w:pPr>
        <w:pStyle w:val="Tytu"/>
        <w:numPr>
          <w:ilvl w:val="0"/>
          <w:numId w:val="2"/>
        </w:numPr>
        <w:tabs>
          <w:tab w:val="clear" w:pos="708"/>
          <w:tab w:val="left" w:pos="567" w:leader="none"/>
        </w:tabs>
        <w:spacing w:lineRule="auto" w:line="360"/>
        <w:ind w:left="567" w:right="0" w:hanging="283"/>
        <w:rPr>
          <w:rFonts w:ascii="ISOCPEUR" w:hAnsi="ISOCPEUR"/>
        </w:rPr>
      </w:pPr>
      <w:r>
        <w:rPr>
          <w:rFonts w:ascii="ISOCPEUR" w:hAnsi="ISOCPEUR"/>
        </w:rPr>
        <w:t>wszystkie materiały użyte do wykonania robót instalacyjnych muszą posiadać aktualne atesty i świadectwa dopuszczające do użycia w budownictwie.</w:t>
      </w:r>
    </w:p>
    <w:p>
      <w:pPr>
        <w:pStyle w:val="Tytu"/>
        <w:numPr>
          <w:ilvl w:val="0"/>
          <w:numId w:val="2"/>
        </w:numPr>
        <w:tabs>
          <w:tab w:val="clear" w:pos="708"/>
          <w:tab w:val="left" w:pos="567" w:leader="none"/>
        </w:tabs>
        <w:spacing w:lineRule="auto" w:line="360"/>
        <w:ind w:left="567" w:right="0" w:hanging="283"/>
        <w:rPr>
          <w:rFonts w:ascii="ISOCPEUR" w:hAnsi="ISOCPEUR"/>
        </w:rPr>
      </w:pPr>
      <w:r>
        <w:rPr>
          <w:rFonts w:ascii="ISOCPEUR" w:hAnsi="ISOCPEUR"/>
        </w:rPr>
        <w:t>zastosowane rozwiązania systemowe powinny być wykonane zgodnie z instrukcją producenta, przez firmy posiadające licencje producenta, które ponadto są przez producenta przeszkolone.</w:t>
      </w:r>
    </w:p>
    <w:p>
      <w:pPr>
        <w:pStyle w:val="Tytu"/>
        <w:numPr>
          <w:ilvl w:val="0"/>
          <w:numId w:val="2"/>
        </w:numPr>
        <w:tabs>
          <w:tab w:val="clear" w:pos="708"/>
          <w:tab w:val="left" w:pos="567" w:leader="none"/>
        </w:tabs>
        <w:spacing w:lineRule="auto" w:line="360"/>
        <w:ind w:left="567" w:right="0" w:hanging="283"/>
        <w:rPr>
          <w:rFonts w:ascii="ISOCPEUR" w:hAnsi="ISOCPEUR"/>
        </w:rPr>
      </w:pPr>
      <w:r>
        <w:rPr>
          <w:rFonts w:ascii="ISOCPEUR" w:hAnsi="ISOCPEUR"/>
        </w:rPr>
        <w:t xml:space="preserve">wszystkie prace należy prowadzić zgodnie ze sztuką budowlaną w oparciu o warunki techniczne wykonania i odbioru robót budowlanych, oraz zgodnie z obowiązującymi przepisami BHP. </w:t>
      </w:r>
    </w:p>
    <w:p>
      <w:pPr>
        <w:pStyle w:val="Tytu"/>
        <w:numPr>
          <w:ilvl w:val="0"/>
          <w:numId w:val="2"/>
        </w:numPr>
        <w:tabs>
          <w:tab w:val="clear" w:pos="708"/>
          <w:tab w:val="left" w:pos="567" w:leader="none"/>
        </w:tabs>
        <w:spacing w:lineRule="auto" w:line="360"/>
        <w:ind w:left="567" w:right="0" w:hanging="283"/>
        <w:rPr>
          <w:rFonts w:ascii="ISOCPEUR" w:hAnsi="ISOCPEUR"/>
        </w:rPr>
      </w:pPr>
      <w:r>
        <w:rPr>
          <w:rFonts w:ascii="ISOCPEUR" w:hAnsi="ISOCPEUR"/>
        </w:rPr>
        <w:t>przy pracach montażowych należy dokonywać pomiarów wykonawczych bezpośrednio na budowie.</w:t>
      </w:r>
    </w:p>
    <w:p>
      <w:pPr>
        <w:pStyle w:val="Normal"/>
        <w:numPr>
          <w:ilvl w:val="0"/>
          <w:numId w:val="2"/>
        </w:numPr>
        <w:tabs>
          <w:tab w:val="clear" w:pos="708"/>
          <w:tab w:val="left" w:pos="567" w:leader="none"/>
        </w:tabs>
        <w:spacing w:lineRule="auto" w:line="360"/>
        <w:ind w:left="567" w:right="0" w:hanging="283"/>
        <w:rPr>
          <w:rFonts w:ascii="ISOCPEUR" w:hAnsi="ISOCPEUR"/>
        </w:rPr>
      </w:pPr>
      <w:r>
        <w:rPr>
          <w:rFonts w:ascii="ISOCPEUR" w:hAnsi="ISOCPEUR"/>
        </w:rPr>
        <w:t xml:space="preserve">wszystkie materiały i wyroby stosowane w procesach uzdatniania i dystrybucji wody muszą posiadać odpowiednie atesty i aprobaty techniczne oraz muszą uzyskać pozytywną ocenę higieniczna Państwowego Powiatowego Inspektora Sanitarnego przed ich wbudowaniem. </w:t>
      </w:r>
    </w:p>
    <w:p>
      <w:pPr>
        <w:pStyle w:val="Normal"/>
        <w:numPr>
          <w:ilvl w:val="0"/>
          <w:numId w:val="2"/>
        </w:numPr>
        <w:tabs>
          <w:tab w:val="clear" w:pos="708"/>
          <w:tab w:val="left" w:pos="567" w:leader="none"/>
        </w:tabs>
        <w:spacing w:lineRule="auto" w:line="360"/>
        <w:ind w:left="567" w:right="0" w:hanging="283"/>
        <w:rPr>
          <w:rFonts w:ascii="ISOCPEUR" w:hAnsi="ISOCPEUR"/>
        </w:rPr>
      </w:pPr>
      <w:r>
        <w:rPr>
          <w:rFonts w:ascii="ISOCPEUR" w:hAnsi="ISOCPEUR"/>
        </w:rPr>
        <w:t xml:space="preserve">wszystkie punkty poboru próbek wody (studnie, woda surowa wprowadzana do SUW, woda wprowadzana do sieci) powinny mieć zamontowane krany metalowe, nierozbryzgowe, odporne na sterylizację płomieniem. </w:t>
      </w:r>
    </w:p>
    <w:p>
      <w:pPr>
        <w:pStyle w:val="Normal"/>
        <w:numPr>
          <w:ilvl w:val="0"/>
          <w:numId w:val="2"/>
        </w:numPr>
        <w:tabs>
          <w:tab w:val="clear" w:pos="708"/>
          <w:tab w:val="left" w:pos="567" w:leader="none"/>
        </w:tabs>
        <w:spacing w:lineRule="auto" w:line="360"/>
        <w:ind w:left="567" w:right="0" w:hanging="283"/>
        <w:rPr>
          <w:rFonts w:ascii="ISOCPEUR" w:hAnsi="ISOCPEUR"/>
        </w:rPr>
      </w:pPr>
      <w:r>
        <w:rPr>
          <w:rFonts w:ascii="ISOCPEUR" w:hAnsi="ISOCPEUR"/>
        </w:rPr>
        <w:t>zakres robót przewidzianych do wykonania nie spowoduje zmiany parametrów istotnych ze względu na aktualnie obowiązujące pozwolenie wodnoprawne - ilość ujmowanej wody.</w:t>
      </w:r>
    </w:p>
    <w:p>
      <w:pPr>
        <w:pStyle w:val="Normal"/>
        <w:spacing w:lineRule="auto" w:line="360"/>
        <w:rPr>
          <w:rFonts w:ascii="ISOCPEUR" w:hAnsi="ISOCPEUR"/>
        </w:rPr>
      </w:pPr>
      <w:r>
        <w:rPr>
          <w:rFonts w:ascii="ISOCPEUR" w:hAnsi="ISOCPEUR"/>
        </w:rPr>
      </w:r>
    </w:p>
    <w:p>
      <w:pPr>
        <w:pStyle w:val="Nagwek1"/>
        <w:spacing w:lineRule="auto" w:line="360"/>
        <w:rPr>
          <w:rFonts w:ascii="ISOCPEUR" w:hAnsi="ISOCPEUR"/>
        </w:rPr>
      </w:pPr>
      <w:bookmarkStart w:id="78" w:name="__RefHeading___Toc6676_1471982776"/>
      <w:bookmarkStart w:id="79" w:name="_Toc185095303"/>
      <w:bookmarkStart w:id="80" w:name="_Toc90976290"/>
      <w:bookmarkStart w:id="81" w:name="_Toc79231814"/>
      <w:bookmarkEnd w:id="78"/>
      <w:r>
        <w:rPr>
          <w:rFonts w:ascii="ISOCPEUR" w:hAnsi="ISOCPEUR"/>
        </w:rPr>
        <w:t>CZĘŚĆ RYSUNKOWA</w:t>
      </w:r>
      <w:bookmarkEnd w:id="79"/>
      <w:bookmarkEnd w:id="80"/>
      <w:bookmarkEnd w:id="81"/>
    </w:p>
    <w:tbl>
      <w:tblPr>
        <w:tblW w:w="8789" w:type="dxa"/>
        <w:jc w:val="center"/>
        <w:tblInd w:w="0" w:type="dxa"/>
        <w:tblLayout w:type="fixed"/>
        <w:tblCellMar>
          <w:top w:w="0" w:type="dxa"/>
          <w:left w:w="108" w:type="dxa"/>
          <w:bottom w:w="0" w:type="dxa"/>
          <w:right w:w="108" w:type="dxa"/>
        </w:tblCellMar>
      </w:tblPr>
      <w:tblGrid>
        <w:gridCol w:w="4961"/>
        <w:gridCol w:w="2267"/>
        <w:gridCol w:w="1561"/>
      </w:tblGrid>
      <w:tr>
        <w:trPr/>
        <w:tc>
          <w:tcPr>
            <w:tcW w:w="4961" w:type="dxa"/>
            <w:tcBorders>
              <w:top w:val="single" w:sz="4" w:space="0" w:color="000000"/>
              <w:left w:val="single" w:sz="4" w:space="0" w:color="000000"/>
              <w:bottom w:val="single" w:sz="4" w:space="0" w:color="000000"/>
              <w:right w:val="single" w:sz="4" w:space="0" w:color="000000"/>
            </w:tcBorders>
            <w:shd w:fill="BFBFBF" w:val="clear"/>
            <w:vAlign w:val="center"/>
          </w:tcPr>
          <w:p>
            <w:pPr>
              <w:pStyle w:val="ListParagraph"/>
              <w:widowControl w:val="false"/>
              <w:suppressAutoHyphens w:val="true"/>
              <w:spacing w:lineRule="auto" w:line="360" w:before="60" w:after="0"/>
              <w:ind w:left="0" w:right="0" w:hanging="0"/>
              <w:contextualSpacing w:val="false"/>
              <w:jc w:val="center"/>
              <w:rPr>
                <w:rFonts w:ascii="ISOCPEUR" w:hAnsi="ISOCPEUR"/>
                <w:kern w:val="0"/>
                <w:sz w:val="22"/>
                <w:szCs w:val="22"/>
                <w:lang w:val="pl-PL" w:eastAsia="en-US" w:bidi="ar-SA"/>
              </w:rPr>
            </w:pPr>
            <w:r>
              <w:rPr>
                <w:rFonts w:ascii="ISOCPEUR" w:hAnsi="ISOCPEUR"/>
                <w:kern w:val="0"/>
                <w:sz w:val="22"/>
                <w:szCs w:val="22"/>
                <w:lang w:val="pl-PL" w:eastAsia="en-US" w:bidi="ar-SA"/>
              </w:rPr>
              <w:t>Nazwa rysunku</w:t>
            </w:r>
          </w:p>
        </w:tc>
        <w:tc>
          <w:tcPr>
            <w:tcW w:w="2267" w:type="dxa"/>
            <w:tcBorders>
              <w:top w:val="single" w:sz="4" w:space="0" w:color="000000"/>
              <w:left w:val="single" w:sz="4" w:space="0" w:color="000000"/>
              <w:bottom w:val="single" w:sz="4" w:space="0" w:color="000000"/>
              <w:right w:val="single" w:sz="4" w:space="0" w:color="000000"/>
            </w:tcBorders>
            <w:shd w:fill="BFBFBF" w:val="clear"/>
            <w:vAlign w:val="center"/>
          </w:tcPr>
          <w:p>
            <w:pPr>
              <w:pStyle w:val="ListParagraph"/>
              <w:widowControl w:val="false"/>
              <w:suppressAutoHyphens w:val="true"/>
              <w:spacing w:lineRule="auto" w:line="360" w:before="60" w:after="0"/>
              <w:ind w:left="0" w:right="0" w:hanging="0"/>
              <w:contextualSpacing w:val="false"/>
              <w:jc w:val="center"/>
              <w:rPr>
                <w:rFonts w:ascii="ISOCPEUR" w:hAnsi="ISOCPEUR"/>
                <w:kern w:val="0"/>
                <w:sz w:val="22"/>
                <w:szCs w:val="22"/>
                <w:lang w:val="pl-PL" w:eastAsia="en-US" w:bidi="ar-SA"/>
              </w:rPr>
            </w:pPr>
            <w:r>
              <w:rPr>
                <w:rFonts w:ascii="ISOCPEUR" w:hAnsi="ISOCPEUR"/>
                <w:kern w:val="0"/>
                <w:sz w:val="22"/>
                <w:szCs w:val="22"/>
                <w:lang w:val="pl-PL" w:eastAsia="en-US" w:bidi="ar-SA"/>
              </w:rPr>
              <w:t>Skala</w:t>
            </w:r>
          </w:p>
        </w:tc>
        <w:tc>
          <w:tcPr>
            <w:tcW w:w="1561" w:type="dxa"/>
            <w:tcBorders>
              <w:top w:val="single" w:sz="4" w:space="0" w:color="000000"/>
              <w:left w:val="single" w:sz="4" w:space="0" w:color="000000"/>
              <w:bottom w:val="single" w:sz="4" w:space="0" w:color="000000"/>
              <w:right w:val="single" w:sz="4" w:space="0" w:color="000000"/>
            </w:tcBorders>
            <w:shd w:fill="BFBFBF" w:val="clear"/>
            <w:vAlign w:val="center"/>
          </w:tcPr>
          <w:p>
            <w:pPr>
              <w:pStyle w:val="ListParagraph"/>
              <w:widowControl w:val="false"/>
              <w:suppressAutoHyphens w:val="true"/>
              <w:spacing w:lineRule="auto" w:line="360" w:before="60" w:after="0"/>
              <w:ind w:left="0" w:right="0" w:hanging="0"/>
              <w:contextualSpacing w:val="false"/>
              <w:jc w:val="center"/>
              <w:rPr>
                <w:rFonts w:ascii="ISOCPEUR" w:hAnsi="ISOCPEUR"/>
                <w:kern w:val="0"/>
                <w:sz w:val="22"/>
                <w:szCs w:val="22"/>
                <w:lang w:val="pl-PL" w:eastAsia="en-US" w:bidi="ar-SA"/>
              </w:rPr>
            </w:pPr>
            <w:r>
              <w:rPr>
                <w:rFonts w:ascii="ISOCPEUR" w:hAnsi="ISOCPEUR"/>
                <w:kern w:val="0"/>
                <w:sz w:val="22"/>
                <w:szCs w:val="22"/>
                <w:lang w:val="pl-PL" w:eastAsia="en-US" w:bidi="ar-SA"/>
              </w:rPr>
              <w:t>Nr rys.</w:t>
            </w:r>
          </w:p>
        </w:tc>
      </w:tr>
      <w:tr>
        <w:trPr/>
        <w:tc>
          <w:tcPr>
            <w:tcW w:w="4961" w:type="dxa"/>
            <w:tcBorders>
              <w:top w:val="single" w:sz="4" w:space="0" w:color="000000"/>
              <w:left w:val="single" w:sz="4" w:space="0" w:color="000000"/>
              <w:bottom w:val="single" w:sz="4" w:space="0" w:color="000000"/>
              <w:right w:val="single" w:sz="4" w:space="0" w:color="000000"/>
            </w:tcBorders>
            <w:vAlign w:val="center"/>
          </w:tcPr>
          <w:p>
            <w:pPr>
              <w:pStyle w:val="ListParagraph"/>
              <w:widowControl w:val="false"/>
              <w:suppressAutoHyphens w:val="true"/>
              <w:spacing w:lineRule="auto" w:line="360" w:before="60" w:after="0"/>
              <w:ind w:left="0" w:right="0" w:hanging="0"/>
              <w:contextualSpacing w:val="false"/>
              <w:jc w:val="left"/>
              <w:rPr>
                <w:rFonts w:ascii="ISOCPEUR" w:hAnsi="ISOCPEUR" w:eastAsia="Segoe UI" w:cs="Tahoma"/>
                <w:color w:val="auto"/>
                <w:kern w:val="0"/>
                <w:sz w:val="22"/>
                <w:szCs w:val="22"/>
                <w:lang w:val="pl-PL" w:eastAsia="en-US" w:bidi="ar-SA"/>
              </w:rPr>
            </w:pPr>
            <w:r>
              <w:rPr>
                <w:rFonts w:eastAsia="Segoe UI" w:cs="Tahoma" w:ascii="ISOCPEUR" w:hAnsi="ISOCPEUR"/>
                <w:color w:val="auto"/>
                <w:kern w:val="0"/>
                <w:sz w:val="22"/>
                <w:szCs w:val="22"/>
                <w:lang w:val="pl-PL" w:eastAsia="en-US" w:bidi="ar-SA"/>
              </w:rPr>
              <w:t>Plan Sytuacyjny</w:t>
            </w:r>
          </w:p>
        </w:tc>
        <w:tc>
          <w:tcPr>
            <w:tcW w:w="2267" w:type="dxa"/>
            <w:tcBorders>
              <w:top w:val="single" w:sz="4" w:space="0" w:color="000000"/>
              <w:left w:val="single" w:sz="4" w:space="0" w:color="000000"/>
              <w:bottom w:val="single" w:sz="4" w:space="0" w:color="000000"/>
              <w:right w:val="single" w:sz="4" w:space="0" w:color="000000"/>
            </w:tcBorders>
            <w:vAlign w:val="center"/>
          </w:tcPr>
          <w:p>
            <w:pPr>
              <w:pStyle w:val="ListParagraph"/>
              <w:widowControl w:val="false"/>
              <w:suppressAutoHyphens w:val="true"/>
              <w:spacing w:lineRule="auto" w:line="360" w:before="60" w:after="0"/>
              <w:ind w:left="0" w:right="0" w:hanging="0"/>
              <w:contextualSpacing w:val="false"/>
              <w:jc w:val="center"/>
              <w:rPr>
                <w:rFonts w:ascii="ISOCPEUR" w:hAnsi="ISOCPEUR" w:eastAsia="Segoe UI" w:cs="Tahoma"/>
                <w:color w:val="auto"/>
                <w:kern w:val="0"/>
                <w:sz w:val="22"/>
                <w:szCs w:val="22"/>
                <w:lang w:val="pl-PL" w:eastAsia="en-US" w:bidi="ar-SA"/>
              </w:rPr>
            </w:pPr>
            <w:r>
              <w:rPr>
                <w:rFonts w:eastAsia="Segoe UI" w:cs="Tahoma" w:ascii="ISOCPEUR" w:hAnsi="ISOCPEUR"/>
                <w:color w:val="auto"/>
                <w:kern w:val="0"/>
                <w:sz w:val="22"/>
                <w:szCs w:val="22"/>
                <w:lang w:val="pl-PL" w:eastAsia="en-US" w:bidi="ar-SA"/>
              </w:rPr>
              <w:t>1:500</w:t>
            </w:r>
          </w:p>
        </w:tc>
        <w:tc>
          <w:tcPr>
            <w:tcW w:w="1561" w:type="dxa"/>
            <w:tcBorders>
              <w:top w:val="single" w:sz="4" w:space="0" w:color="000000"/>
              <w:left w:val="single" w:sz="4" w:space="0" w:color="000000"/>
              <w:bottom w:val="single" w:sz="4" w:space="0" w:color="000000"/>
              <w:right w:val="single" w:sz="4" w:space="0" w:color="000000"/>
            </w:tcBorders>
            <w:vAlign w:val="center"/>
          </w:tcPr>
          <w:p>
            <w:pPr>
              <w:pStyle w:val="ListParagraph"/>
              <w:widowControl w:val="false"/>
              <w:suppressAutoHyphens w:val="true"/>
              <w:spacing w:lineRule="auto" w:line="360" w:before="60" w:after="0"/>
              <w:ind w:left="0" w:right="0" w:hanging="0"/>
              <w:contextualSpacing w:val="false"/>
              <w:jc w:val="center"/>
              <w:rPr>
                <w:rFonts w:ascii="ISOCPEUR" w:hAnsi="ISOCPEUR"/>
              </w:rPr>
            </w:pPr>
            <w:r>
              <w:rPr>
                <w:rFonts w:ascii="ISOCPEUR" w:hAnsi="ISOCPEUR"/>
                <w:kern w:val="0"/>
                <w:sz w:val="22"/>
                <w:szCs w:val="22"/>
                <w:lang w:val="pl-PL" w:eastAsia="en-US" w:bidi="ar-SA"/>
              </w:rPr>
              <w:t>S.0</w:t>
            </w:r>
            <w:r>
              <w:rPr>
                <w:rFonts w:eastAsia="Segoe UI" w:cs="Tahoma" w:ascii="ISOCPEUR" w:hAnsi="ISOCPEUR"/>
                <w:color w:val="auto"/>
                <w:kern w:val="0"/>
                <w:sz w:val="22"/>
                <w:szCs w:val="22"/>
                <w:lang w:val="pl-PL" w:eastAsia="en-US" w:bidi="ar-SA"/>
              </w:rPr>
              <w:t>1</w:t>
            </w:r>
          </w:p>
        </w:tc>
      </w:tr>
      <w:tr>
        <w:trPr/>
        <w:tc>
          <w:tcPr>
            <w:tcW w:w="4961" w:type="dxa"/>
            <w:tcBorders>
              <w:top w:val="single" w:sz="4" w:space="0" w:color="000000"/>
              <w:left w:val="single" w:sz="4" w:space="0" w:color="000000"/>
              <w:bottom w:val="single" w:sz="4" w:space="0" w:color="000000"/>
              <w:right w:val="single" w:sz="4" w:space="0" w:color="000000"/>
            </w:tcBorders>
            <w:vAlign w:val="center"/>
          </w:tcPr>
          <w:p>
            <w:pPr>
              <w:pStyle w:val="ListParagraph"/>
              <w:widowControl w:val="false"/>
              <w:suppressAutoHyphens w:val="true"/>
              <w:spacing w:lineRule="auto" w:line="360" w:before="60" w:after="0"/>
              <w:ind w:left="0" w:right="0" w:hanging="0"/>
              <w:contextualSpacing w:val="false"/>
              <w:jc w:val="left"/>
              <w:rPr>
                <w:rFonts w:ascii="ISOCPEUR" w:hAnsi="ISOCPEUR"/>
                <w:kern w:val="0"/>
                <w:sz w:val="22"/>
                <w:szCs w:val="22"/>
                <w:lang w:val="pl-PL" w:eastAsia="en-US" w:bidi="ar-SA"/>
              </w:rPr>
            </w:pPr>
            <w:r>
              <w:rPr>
                <w:rFonts w:ascii="ISOCPEUR" w:hAnsi="ISOCPEUR"/>
                <w:kern w:val="0"/>
                <w:sz w:val="22"/>
                <w:szCs w:val="22"/>
                <w:lang w:val="pl-PL" w:eastAsia="en-US" w:bidi="ar-SA"/>
              </w:rPr>
              <w:t xml:space="preserve">Rzut </w:t>
            </w:r>
            <w:r>
              <w:rPr>
                <w:rFonts w:ascii="ISOCPEUR" w:hAnsi="ISOCPEUR"/>
                <w:kern w:val="0"/>
                <w:sz w:val="22"/>
                <w:szCs w:val="22"/>
                <w:lang w:val="pl-PL" w:eastAsia="en-US" w:bidi="ar-SA"/>
              </w:rPr>
              <w:t>P</w:t>
            </w:r>
            <w:r>
              <w:rPr>
                <w:rFonts w:ascii="ISOCPEUR" w:hAnsi="ISOCPEUR"/>
                <w:kern w:val="0"/>
                <w:sz w:val="22"/>
                <w:szCs w:val="22"/>
                <w:lang w:val="pl-PL" w:eastAsia="en-US" w:bidi="ar-SA"/>
              </w:rPr>
              <w:t>arteru</w:t>
            </w:r>
          </w:p>
        </w:tc>
        <w:tc>
          <w:tcPr>
            <w:tcW w:w="2267" w:type="dxa"/>
            <w:tcBorders>
              <w:top w:val="single" w:sz="4" w:space="0" w:color="000000"/>
              <w:left w:val="single" w:sz="4" w:space="0" w:color="000000"/>
              <w:bottom w:val="single" w:sz="4" w:space="0" w:color="000000"/>
              <w:right w:val="single" w:sz="4" w:space="0" w:color="000000"/>
            </w:tcBorders>
            <w:vAlign w:val="center"/>
          </w:tcPr>
          <w:p>
            <w:pPr>
              <w:pStyle w:val="ListParagraph"/>
              <w:widowControl w:val="false"/>
              <w:suppressAutoHyphens w:val="true"/>
              <w:spacing w:lineRule="auto" w:line="360" w:before="60" w:after="0"/>
              <w:ind w:left="0" w:right="0" w:hanging="0"/>
              <w:contextualSpacing w:val="false"/>
              <w:jc w:val="center"/>
              <w:rPr>
                <w:rFonts w:ascii="ISOCPEUR" w:hAnsi="ISOCPEUR"/>
                <w:kern w:val="0"/>
                <w:sz w:val="22"/>
                <w:szCs w:val="22"/>
                <w:lang w:val="pl-PL" w:eastAsia="en-US" w:bidi="ar-SA"/>
              </w:rPr>
            </w:pPr>
            <w:r>
              <w:rPr>
                <w:rFonts w:ascii="ISOCPEUR" w:hAnsi="ISOCPEUR"/>
                <w:kern w:val="0"/>
                <w:sz w:val="22"/>
                <w:szCs w:val="22"/>
                <w:lang w:val="pl-PL" w:eastAsia="en-US" w:bidi="ar-SA"/>
              </w:rPr>
              <w:t>1:</w:t>
            </w:r>
            <w:r>
              <w:rPr>
                <w:rFonts w:ascii="ISOCPEUR" w:hAnsi="ISOCPEUR"/>
                <w:kern w:val="0"/>
                <w:sz w:val="22"/>
                <w:szCs w:val="22"/>
                <w:lang w:val="pl-PL" w:eastAsia="en-US" w:bidi="ar-SA"/>
              </w:rPr>
              <w:t>25</w:t>
            </w:r>
          </w:p>
        </w:tc>
        <w:tc>
          <w:tcPr>
            <w:tcW w:w="1561" w:type="dxa"/>
            <w:tcBorders>
              <w:top w:val="single" w:sz="4" w:space="0" w:color="000000"/>
              <w:left w:val="single" w:sz="4" w:space="0" w:color="000000"/>
              <w:bottom w:val="single" w:sz="4" w:space="0" w:color="000000"/>
              <w:right w:val="single" w:sz="4" w:space="0" w:color="000000"/>
            </w:tcBorders>
            <w:vAlign w:val="center"/>
          </w:tcPr>
          <w:p>
            <w:pPr>
              <w:pStyle w:val="ListParagraph"/>
              <w:widowControl w:val="false"/>
              <w:suppressAutoHyphens w:val="true"/>
              <w:spacing w:lineRule="auto" w:line="360" w:before="60" w:after="0"/>
              <w:ind w:left="0" w:right="0" w:hanging="0"/>
              <w:contextualSpacing w:val="false"/>
              <w:jc w:val="center"/>
              <w:rPr>
                <w:rFonts w:ascii="ISOCPEUR" w:hAnsi="ISOCPEUR"/>
                <w:kern w:val="0"/>
                <w:sz w:val="22"/>
                <w:szCs w:val="22"/>
                <w:lang w:val="pl-PL" w:eastAsia="en-US" w:bidi="ar-SA"/>
              </w:rPr>
            </w:pPr>
            <w:r>
              <w:rPr>
                <w:rFonts w:ascii="ISOCPEUR" w:hAnsi="ISOCPEUR"/>
                <w:kern w:val="0"/>
                <w:sz w:val="22"/>
                <w:szCs w:val="22"/>
                <w:lang w:val="pl-PL" w:eastAsia="en-US" w:bidi="ar-SA"/>
              </w:rPr>
              <w:t>S.02</w:t>
            </w:r>
          </w:p>
        </w:tc>
      </w:tr>
    </w:tbl>
    <w:p>
      <w:pPr>
        <w:pStyle w:val="Normal"/>
        <w:spacing w:lineRule="auto" w:line="360"/>
        <w:rPr>
          <w:rFonts w:ascii="ISOCPEUR" w:hAnsi="ISOCPEUR"/>
        </w:rPr>
      </w:pPr>
      <w:r>
        <w:rPr>
          <w:rFonts w:ascii="ISOCPEUR" w:hAnsi="ISOCPEUR"/>
        </w:rPr>
      </w:r>
    </w:p>
    <w:p>
      <w:pPr>
        <w:pStyle w:val="Normal"/>
        <w:tabs>
          <w:tab w:val="clear" w:pos="708"/>
          <w:tab w:val="left" w:pos="4452" w:leader="none"/>
        </w:tabs>
        <w:spacing w:lineRule="auto" w:line="360" w:before="0" w:after="160"/>
        <w:rPr>
          <w:rFonts w:ascii="ISOCPEUR" w:hAnsi="ISOCPEUR"/>
        </w:rPr>
      </w:pPr>
      <w:r>
        <w:rPr>
          <w:rFonts w:ascii="ISOCPEUR" w:hAnsi="ISOCPEUR"/>
        </w:rPr>
      </w:r>
    </w:p>
    <w:sectPr>
      <w:headerReference w:type="default" r:id="rId2"/>
      <w:footerReference w:type="default" r:id="rId3"/>
      <w:type w:val="nextPage"/>
      <w:pgSz w:w="11906" w:h="16838"/>
      <w:pgMar w:left="1417" w:right="1417" w:gutter="0" w:header="284" w:top="993" w:footer="284" w:bottom="1276"/>
      <w:pgNumType w:start="1"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mbria">
    <w:charset w:val="ee"/>
    <w:family w:val="roman"/>
    <w:pitch w:val="variable"/>
  </w:font>
  <w:font w:name="Tahoma">
    <w:charset w:val="ee"/>
    <w:family w:val="roman"/>
    <w:pitch w:val="variable"/>
  </w:font>
  <w:font w:name="Arial Narrow">
    <w:charset w:val="ee"/>
    <w:family w:val="roman"/>
    <w:pitch w:val="variable"/>
  </w:font>
  <w:font w:name="Times New Roman">
    <w:charset w:val="ee"/>
    <w:family w:val="roman"/>
    <w:pitch w:val="variable"/>
  </w:font>
  <w:font w:name="OpenSymbol">
    <w:altName w:val="Arial Unicode MS"/>
    <w:charset w:val="ee"/>
    <w:family w:val="roman"/>
    <w:pitch w:val="variable"/>
  </w:font>
  <w:font w:name="Liberation Sans">
    <w:altName w:val="Arial"/>
    <w:charset w:val="ee"/>
    <w:family w:val="roman"/>
    <w:pitch w:val="variable"/>
  </w:font>
  <w:font w:name="Century Gothic">
    <w:charset w:val="ee"/>
    <w:family w:val="roman"/>
    <w:pitch w:val="variable"/>
  </w:font>
  <w:font w:name="Arial">
    <w:charset w:val="ee"/>
    <w:family w:val="roman"/>
    <w:pitch w:val="variable"/>
  </w:font>
  <w:font w:name="Calibri">
    <w:charset w:val="ee"/>
    <w:family w:val="roman"/>
    <w:pitch w:val="variable"/>
  </w:font>
  <w:font w:name="ISOCPEUR">
    <w:charset w:val="01"/>
    <w:family w:val="swiss"/>
    <w:pitch w:val="variable"/>
  </w:font>
  <w:font w:name="ISOCPEUR">
    <w:charset w:val="ee"/>
    <w:family w:val="roman"/>
    <w:pitch w:val="variable"/>
  </w:font>
  <w:font w:name="Courier New">
    <w:charset w:val="01"/>
    <w:family w:val="modern"/>
    <w:pitch w:val="fixed"/>
  </w:font>
  <w:font w:name="Wingdings">
    <w:charset w:val="02"/>
    <w:family w:val="auto"/>
    <w:pitch w:val="variable"/>
  </w:font>
  <w:font w:name="Cambri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opka"/>
      <w:rPr/>
    </w:pPr>
    <w:r>
      <w:rPr>
        <w:rFonts w:ascii="ISOCPEUR" w:hAnsi="ISOCPEUR"/>
      </w:rPr>
      <w:t xml:space="preserve">Strona </w:t>
    </w:r>
    <w:r>
      <w:rPr>
        <w:rFonts w:ascii="ISOCPEUR" w:hAnsi="ISOCPEUR"/>
        <w:b/>
        <w:bCs/>
        <w:sz w:val="24"/>
        <w:szCs w:val="24"/>
      </w:rPr>
      <w:fldChar w:fldCharType="begin"/>
    </w:r>
    <w:r>
      <w:rPr>
        <w:sz w:val="24"/>
        <w:b/>
        <w:szCs w:val="24"/>
        <w:bCs/>
        <w:rFonts w:ascii="ISOCPEUR" w:hAnsi="ISOCPEUR"/>
      </w:rPr>
      <w:instrText> PAGE </w:instrText>
    </w:r>
    <w:r>
      <w:rPr>
        <w:sz w:val="24"/>
        <w:b/>
        <w:szCs w:val="24"/>
        <w:bCs/>
        <w:rFonts w:ascii="ISOCPEUR" w:hAnsi="ISOCPEUR"/>
      </w:rPr>
      <w:fldChar w:fldCharType="separate"/>
    </w:r>
    <w:r>
      <w:rPr>
        <w:sz w:val="24"/>
        <w:b/>
        <w:szCs w:val="24"/>
        <w:bCs/>
        <w:rFonts w:ascii="ISOCPEUR" w:hAnsi="ISOCPEUR"/>
      </w:rPr>
      <w:t>13</w:t>
    </w:r>
    <w:r>
      <w:rPr>
        <w:sz w:val="24"/>
        <w:b/>
        <w:szCs w:val="24"/>
        <w:bCs/>
        <w:rFonts w:ascii="ISOCPEUR" w:hAnsi="ISOCPEUR"/>
      </w:rPr>
      <w:fldChar w:fldCharType="end"/>
    </w:r>
    <w:r>
      <w:rPr>
        <w:rFonts w:ascii="ISOCPEUR" w:hAnsi="ISOCPEUR"/>
      </w:rPr>
      <w:t xml:space="preserve"> z </w:t>
    </w:r>
    <w:r>
      <w:rPr>
        <w:rFonts w:ascii="ISOCPEUR" w:hAnsi="ISOCPEUR"/>
        <w:b/>
        <w:bCs/>
        <w:sz w:val="24"/>
        <w:szCs w:val="24"/>
      </w:rPr>
      <w:fldChar w:fldCharType="begin"/>
    </w:r>
    <w:r>
      <w:rPr>
        <w:sz w:val="24"/>
        <w:b/>
        <w:szCs w:val="24"/>
        <w:bCs/>
        <w:rFonts w:ascii="ISOCPEUR" w:hAnsi="ISOCPEUR"/>
      </w:rPr>
      <w:instrText> NUMPAGES </w:instrText>
    </w:r>
    <w:r>
      <w:rPr>
        <w:sz w:val="24"/>
        <w:b/>
        <w:szCs w:val="24"/>
        <w:bCs/>
        <w:rFonts w:ascii="ISOCPEUR" w:hAnsi="ISOCPEUR"/>
      </w:rPr>
      <w:fldChar w:fldCharType="separate"/>
    </w:r>
    <w:r>
      <w:rPr>
        <w:sz w:val="24"/>
        <w:b/>
        <w:szCs w:val="24"/>
        <w:bCs/>
        <w:rFonts w:ascii="ISOCPEUR" w:hAnsi="ISOCPEUR"/>
      </w:rPr>
      <w:t>13</w:t>
    </w:r>
    <w:r>
      <w:rPr>
        <w:sz w:val="24"/>
        <w:b/>
        <w:szCs w:val="24"/>
        <w:bCs/>
        <w:rFonts w:ascii="ISOCPEUR" w:hAnsi="ISOCPEUR"/>
      </w:rPr>
      <w:fldChar w:fldCharType="end"/>
    </w:r>
  </w:p>
  <w:p>
    <w:pPr>
      <w:pStyle w:val="Normal"/>
      <w:spacing w:before="0" w:after="160"/>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Gwka"/>
      <w:tabs>
        <w:tab w:val="clear" w:pos="4536"/>
        <w:tab w:val="clear" w:pos="9072"/>
      </w:tabs>
      <w:jc w:val="center"/>
      <w:rPr>
        <w:sz w:val="24"/>
        <w:szCs w:val="24"/>
      </w:rPr>
    </w:pPr>
    <w:r>
      <w:rPr>
        <w:sz w:val="24"/>
        <w:szCs w:val="24"/>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Nagwek1"/>
      <w:numFmt w:val="decimal"/>
      <w:lvlText w:val="%1"/>
      <w:lvlJc w:val="left"/>
      <w:pPr>
        <w:tabs>
          <w:tab w:val="num" w:pos="0"/>
        </w:tabs>
        <w:ind w:left="432" w:hanging="432"/>
      </w:pPr>
    </w:lvl>
    <w:lvl w:ilvl="1">
      <w:start w:val="1"/>
      <w:pStyle w:val="Nagwek2"/>
      <w:numFmt w:val="decimal"/>
      <w:lvlText w:val="%1.%2"/>
      <w:lvlJc w:val="left"/>
      <w:pPr>
        <w:tabs>
          <w:tab w:val="num" w:pos="0"/>
        </w:tabs>
        <w:ind w:left="576" w:hanging="576"/>
      </w:pPr>
    </w:lvl>
    <w:lvl w:ilvl="2">
      <w:start w:val="1"/>
      <w:pStyle w:val="Nagwek3"/>
      <w:numFmt w:val="decimal"/>
      <w:lvlText w:val="%1.%2.%3"/>
      <w:lvlJc w:val="left"/>
      <w:pPr>
        <w:tabs>
          <w:tab w:val="num" w:pos="0"/>
        </w:tabs>
        <w:ind w:left="720" w:hanging="720"/>
      </w:pPr>
    </w:lvl>
    <w:lvl w:ilvl="3">
      <w:start w:val="1"/>
      <w:pStyle w:val="Nagwek4"/>
      <w:numFmt w:val="decimal"/>
      <w:lvlText w:val="%1.%2.%3.%4"/>
      <w:lvlJc w:val="left"/>
      <w:pPr>
        <w:tabs>
          <w:tab w:val="num" w:pos="0"/>
        </w:tabs>
        <w:ind w:left="864" w:hanging="864"/>
      </w:pPr>
      <w:rPr>
        <w:smallCaps w:val="false"/>
        <w:caps w:val="false"/>
        <w:outline w:val="false"/>
        <w:dstrike w:val="false"/>
        <w:strike w:val="false"/>
        <w:vertAlign w:val="baseline"/>
        <w:position w:val="0"/>
        <w:sz w:val="2"/>
        <w:sz w:val="2"/>
        <w:spacing w:val="0"/>
        <w:i w:val="false"/>
        <w:shadow w:val="false"/>
        <w:u w:val="none"/>
        <w:b w:val="false"/>
        <w:kern w:val="0"/>
        <w:effect w:val="none"/>
        <w:shd w:fill="000000" w:val="clear"/>
        <w:szCs w:val="2"/>
        <w:iCs w:val="false"/>
        <w:bCs w:val="false"/>
        <w:em w:val="none"/>
        <w:w w:val="100"/>
        <w:emboss w:val="false"/>
        <w:imprint w:val="false"/>
        <w:vanish w:val="false"/>
        <w:rFonts w:ascii="Times New Roman" w:hAnsi="Times New Roman" w:cs="Times New Roman"/>
        <w:color w:val="000000"/>
        <w:lang w:val="x-none" w:eastAsia="x-none" w:bidi="x-none"/>
      </w:rPr>
    </w:lvl>
    <w:lvl w:ilvl="4">
      <w:start w:val="1"/>
      <w:pStyle w:val="Nagwek5"/>
      <w:numFmt w:val="decimal"/>
      <w:lvlText w:val="%1.%2.%3.%4.%5"/>
      <w:lvlJc w:val="left"/>
      <w:pPr>
        <w:tabs>
          <w:tab w:val="num" w:pos="0"/>
        </w:tabs>
        <w:ind w:left="1008" w:hanging="1008"/>
      </w:pPr>
    </w:lvl>
    <w:lvl w:ilvl="5">
      <w:start w:val="1"/>
      <w:pStyle w:val="Nagwek6"/>
      <w:numFmt w:val="decimal"/>
      <w:lvlText w:val="%1.%2.%3.%4.%5.%6"/>
      <w:lvlJc w:val="left"/>
      <w:pPr>
        <w:tabs>
          <w:tab w:val="num" w:pos="0"/>
        </w:tabs>
        <w:ind w:left="1152" w:hanging="1152"/>
      </w:pPr>
    </w:lvl>
    <w:lvl w:ilvl="6">
      <w:start w:val="1"/>
      <w:pStyle w:val="Nagwek7"/>
      <w:numFmt w:val="decimal"/>
      <w:lvlText w:val="%1.%2.%3.%4.%5.%6.%7"/>
      <w:lvlJc w:val="left"/>
      <w:pPr>
        <w:tabs>
          <w:tab w:val="num" w:pos="0"/>
        </w:tabs>
        <w:ind w:left="1296" w:hanging="1296"/>
      </w:pPr>
    </w:lvl>
    <w:lvl w:ilvl="7">
      <w:start w:val="1"/>
      <w:pStyle w:val="Nagwek8"/>
      <w:numFmt w:val="decimal"/>
      <w:lvlText w:val="%1.%2.%3.%4.%5.%6.%7.%8"/>
      <w:lvlJc w:val="left"/>
      <w:pPr>
        <w:tabs>
          <w:tab w:val="num" w:pos="0"/>
        </w:tabs>
        <w:ind w:left="1440" w:hanging="1440"/>
      </w:pPr>
    </w:lvl>
    <w:lvl w:ilvl="8">
      <w:start w:val="1"/>
      <w:pStyle w:val="Nagwek9"/>
      <w:numFmt w:val="decimal"/>
      <w:lvlText w:val="%1.%2.%3.%4.%5.%6.%7.%8.%9"/>
      <w:lvlJc w:val="left"/>
      <w:pPr>
        <w:tabs>
          <w:tab w:val="num" w:pos="0"/>
        </w:tabs>
        <w:ind w:left="1584" w:hanging="1584"/>
      </w:pPr>
    </w:lvl>
  </w:abstractNum>
  <w:abstractNum w:abstractNumId="2">
    <w:lvl w:ilvl="0">
      <w:start w:val="1"/>
      <w:numFmt w:val="bullet"/>
      <w:lvlText w:val=""/>
      <w:lvlJc w:val="left"/>
      <w:pPr>
        <w:tabs>
          <w:tab w:val="num" w:pos="2563"/>
        </w:tabs>
        <w:ind w:left="2563" w:hanging="360"/>
      </w:pPr>
      <w:rPr>
        <w:rFonts w:ascii="Symbol" w:hAnsi="Symbol" w:cs="Symbol" w:hint="default"/>
        <w:vertAlign w:val="baseline"/>
        <w:position w:val="0"/>
        <w:sz w:val="22"/>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lvl w:ilvl="0">
      <w:start w:val="1"/>
      <w:numFmt w:val="bullet"/>
      <w:lvlText w:val=""/>
      <w:lvlJc w:val="left"/>
      <w:pPr>
        <w:tabs>
          <w:tab w:val="num" w:pos="0"/>
        </w:tabs>
        <w:ind w:left="1778" w:hanging="360"/>
      </w:pPr>
      <w:rPr>
        <w:rFonts w:ascii="Symbol" w:hAnsi="Symbol" w:cs="Symbol" w:hint="default"/>
      </w:rPr>
    </w:lvl>
    <w:lvl w:ilvl="1">
      <w:start w:val="1"/>
      <w:numFmt w:val="bullet"/>
      <w:lvlText w:val="•"/>
      <w:lvlJc w:val="left"/>
      <w:pPr>
        <w:tabs>
          <w:tab w:val="num" w:pos="0"/>
        </w:tabs>
        <w:ind w:left="2749" w:hanging="705"/>
      </w:pPr>
      <w:rPr>
        <w:rFonts w:ascii="Cambria" w:hAnsi="Cambria" w:cs="Cambria" w:hint="default"/>
      </w:rPr>
    </w:lvl>
    <w:lvl w:ilvl="2">
      <w:start w:val="1"/>
      <w:numFmt w:val="bullet"/>
      <w:lvlText w:val=""/>
      <w:lvlJc w:val="left"/>
      <w:pPr>
        <w:tabs>
          <w:tab w:val="num" w:pos="0"/>
        </w:tabs>
        <w:ind w:left="3124" w:hanging="360"/>
      </w:pPr>
      <w:rPr>
        <w:rFonts w:ascii="Wingdings" w:hAnsi="Wingdings" w:cs="Wingdings" w:hint="default"/>
      </w:rPr>
    </w:lvl>
    <w:lvl w:ilvl="3">
      <w:start w:val="1"/>
      <w:numFmt w:val="bullet"/>
      <w:lvlText w:val=""/>
      <w:lvlJc w:val="left"/>
      <w:pPr>
        <w:tabs>
          <w:tab w:val="num" w:pos="0"/>
        </w:tabs>
        <w:ind w:left="3844" w:hanging="360"/>
      </w:pPr>
      <w:rPr>
        <w:rFonts w:ascii="Symbol" w:hAnsi="Symbol" w:cs="Symbol" w:hint="default"/>
      </w:rPr>
    </w:lvl>
    <w:lvl w:ilvl="4">
      <w:start w:val="1"/>
      <w:numFmt w:val="bullet"/>
      <w:lvlText w:val="o"/>
      <w:lvlJc w:val="left"/>
      <w:pPr>
        <w:tabs>
          <w:tab w:val="num" w:pos="0"/>
        </w:tabs>
        <w:ind w:left="4564" w:hanging="360"/>
      </w:pPr>
      <w:rPr>
        <w:rFonts w:ascii="Courier New" w:hAnsi="Courier New" w:cs="Courier New" w:hint="default"/>
      </w:rPr>
    </w:lvl>
    <w:lvl w:ilvl="5">
      <w:start w:val="1"/>
      <w:numFmt w:val="bullet"/>
      <w:lvlText w:val=""/>
      <w:lvlJc w:val="left"/>
      <w:pPr>
        <w:tabs>
          <w:tab w:val="num" w:pos="0"/>
        </w:tabs>
        <w:ind w:left="5284" w:hanging="360"/>
      </w:pPr>
      <w:rPr>
        <w:rFonts w:ascii="Wingdings" w:hAnsi="Wingdings" w:cs="Wingdings" w:hint="default"/>
      </w:rPr>
    </w:lvl>
    <w:lvl w:ilvl="6">
      <w:start w:val="1"/>
      <w:numFmt w:val="bullet"/>
      <w:lvlText w:val=""/>
      <w:lvlJc w:val="left"/>
      <w:pPr>
        <w:tabs>
          <w:tab w:val="num" w:pos="0"/>
        </w:tabs>
        <w:ind w:left="6004" w:hanging="360"/>
      </w:pPr>
      <w:rPr>
        <w:rFonts w:ascii="Symbol" w:hAnsi="Symbol" w:cs="Symbol" w:hint="default"/>
      </w:rPr>
    </w:lvl>
    <w:lvl w:ilvl="7">
      <w:start w:val="1"/>
      <w:numFmt w:val="bullet"/>
      <w:lvlText w:val="o"/>
      <w:lvlJc w:val="left"/>
      <w:pPr>
        <w:tabs>
          <w:tab w:val="num" w:pos="0"/>
        </w:tabs>
        <w:ind w:left="6724" w:hanging="360"/>
      </w:pPr>
      <w:rPr>
        <w:rFonts w:ascii="Courier New" w:hAnsi="Courier New" w:cs="Courier New" w:hint="default"/>
      </w:rPr>
    </w:lvl>
    <w:lvl w:ilvl="8">
      <w:start w:val="1"/>
      <w:numFmt w:val="bullet"/>
      <w:lvlText w:val=""/>
      <w:lvlJc w:val="left"/>
      <w:pPr>
        <w:tabs>
          <w:tab w:val="num" w:pos="0"/>
        </w:tabs>
        <w:ind w:left="7444" w:hanging="360"/>
      </w:pPr>
      <w:rPr>
        <w:rFonts w:ascii="Wingdings" w:hAnsi="Wingdings" w:cs="Wingdings" w:hint="default"/>
      </w:rPr>
    </w:lvl>
  </w:abstractNum>
  <w:abstractNum w:abstractNumId="4">
    <w:lvl w:ilvl="0">
      <w:start w:val="1"/>
      <w:numFmt w:val="decimal"/>
      <w:lvlText w:val="%1."/>
      <w:lvlJc w:val="left"/>
      <w:pPr>
        <w:tabs>
          <w:tab w:val="num" w:pos="2563"/>
        </w:tabs>
        <w:ind w:left="2563" w:hanging="360"/>
      </w:pPr>
    </w:lvl>
    <w:lvl w:ilvl="1">
      <w:start w:val="1"/>
      <w:numFmt w:val="lowerLetter"/>
      <w:lvlText w:val="%2."/>
      <w:lvlJc w:val="left"/>
      <w:pPr>
        <w:tabs>
          <w:tab w:val="num" w:pos="3283"/>
        </w:tabs>
        <w:ind w:left="3283" w:hanging="360"/>
      </w:pPr>
    </w:lvl>
    <w:lvl w:ilvl="2">
      <w:start w:val="1"/>
      <w:numFmt w:val="lowerRoman"/>
      <w:lvlText w:val="%3."/>
      <w:lvlJc w:val="right"/>
      <w:pPr>
        <w:tabs>
          <w:tab w:val="num" w:pos="4003"/>
        </w:tabs>
        <w:ind w:left="4003" w:hanging="180"/>
      </w:pPr>
    </w:lvl>
    <w:lvl w:ilvl="3">
      <w:start w:val="1"/>
      <w:numFmt w:val="decimal"/>
      <w:lvlText w:val="%4."/>
      <w:lvlJc w:val="left"/>
      <w:pPr>
        <w:tabs>
          <w:tab w:val="num" w:pos="4723"/>
        </w:tabs>
        <w:ind w:left="4723" w:hanging="360"/>
      </w:pPr>
    </w:lvl>
    <w:lvl w:ilvl="4">
      <w:start w:val="1"/>
      <w:numFmt w:val="lowerLetter"/>
      <w:lvlText w:val="%5."/>
      <w:lvlJc w:val="left"/>
      <w:pPr>
        <w:tabs>
          <w:tab w:val="num" w:pos="5443"/>
        </w:tabs>
        <w:ind w:left="5443" w:hanging="360"/>
      </w:pPr>
    </w:lvl>
    <w:lvl w:ilvl="5">
      <w:start w:val="1"/>
      <w:numFmt w:val="lowerRoman"/>
      <w:lvlText w:val="%6."/>
      <w:lvlJc w:val="right"/>
      <w:pPr>
        <w:tabs>
          <w:tab w:val="num" w:pos="6163"/>
        </w:tabs>
        <w:ind w:left="6163" w:hanging="180"/>
      </w:pPr>
    </w:lvl>
    <w:lvl w:ilvl="6">
      <w:start w:val="1"/>
      <w:numFmt w:val="decimal"/>
      <w:lvlText w:val="%7."/>
      <w:lvlJc w:val="left"/>
      <w:pPr>
        <w:tabs>
          <w:tab w:val="num" w:pos="6883"/>
        </w:tabs>
        <w:ind w:left="6883" w:hanging="360"/>
      </w:pPr>
    </w:lvl>
    <w:lvl w:ilvl="7">
      <w:start w:val="1"/>
      <w:numFmt w:val="lowerLetter"/>
      <w:lvlText w:val="%8."/>
      <w:lvlJc w:val="left"/>
      <w:pPr>
        <w:tabs>
          <w:tab w:val="num" w:pos="7603"/>
        </w:tabs>
        <w:ind w:left="7603" w:hanging="360"/>
      </w:pPr>
    </w:lvl>
    <w:lvl w:ilvl="8">
      <w:start w:val="1"/>
      <w:numFmt w:val="lowerRoman"/>
      <w:lvlText w:val="%9."/>
      <w:lvlJc w:val="right"/>
      <w:pPr>
        <w:tabs>
          <w:tab w:val="num" w:pos="8323"/>
        </w:tabs>
        <w:ind w:left="8323" w:hanging="180"/>
      </w:pPr>
    </w:lvl>
  </w:abstractNum>
  <w:abstractNum w:abstractNumId="5">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Segoe UI" w:cs="Tahoma"/>
        <w:sz w:val="22"/>
        <w:szCs w:val="22"/>
        <w:lang w:val="pl-PL" w:eastAsia="en-US" w:bidi="ar-SA"/>
      </w:rPr>
    </w:rPrDefault>
    <w:pPrDefault>
      <w:pPr>
        <w:suppressAutoHyphens w:val="true"/>
      </w:pPr>
    </w:pPrDefault>
  </w:docDefaults>
  <w:style w:type="paragraph" w:styleId="Normal">
    <w:name w:val="Normal"/>
    <w:qFormat/>
    <w:pPr>
      <w:widowControl/>
      <w:suppressAutoHyphens w:val="true"/>
      <w:overflowPunct w:val="false"/>
      <w:bidi w:val="0"/>
      <w:spacing w:lineRule="auto" w:line="276" w:before="0" w:after="160"/>
      <w:jc w:val="both"/>
    </w:pPr>
    <w:rPr>
      <w:rFonts w:ascii="Cambria" w:hAnsi="Cambria" w:eastAsia="Segoe UI" w:cs="Tahoma"/>
      <w:color w:val="auto"/>
      <w:kern w:val="0"/>
      <w:sz w:val="22"/>
      <w:szCs w:val="22"/>
      <w:lang w:val="pl-PL" w:eastAsia="en-US" w:bidi="ar-SA"/>
    </w:rPr>
  </w:style>
  <w:style w:type="paragraph" w:styleId="Nagwek1">
    <w:name w:val="Heading 1"/>
    <w:basedOn w:val="Normal"/>
    <w:next w:val="Normal"/>
    <w:qFormat/>
    <w:pPr>
      <w:keepNext w:val="true"/>
      <w:keepLines/>
      <w:numPr>
        <w:ilvl w:val="0"/>
        <w:numId w:val="1"/>
      </w:numPr>
      <w:pBdr>
        <w:bottom w:val="single" w:sz="4" w:space="1" w:color="595959"/>
      </w:pBdr>
      <w:shd w:val="clear" w:fill="F2F2F2"/>
      <w:spacing w:before="360" w:after="160"/>
      <w:outlineLvl w:val="0"/>
    </w:pPr>
    <w:rPr>
      <w:rFonts w:ascii="Cambria" w:hAnsi="Cambria" w:eastAsia="Segoe UI" w:cs="Tahoma"/>
      <w:b/>
      <w:bCs/>
      <w:smallCaps/>
      <w:color w:val="000000"/>
      <w:sz w:val="28"/>
      <w:szCs w:val="36"/>
    </w:rPr>
  </w:style>
  <w:style w:type="paragraph" w:styleId="Nagwek2">
    <w:name w:val="Heading 2"/>
    <w:basedOn w:val="Normal"/>
    <w:next w:val="Normal"/>
    <w:qFormat/>
    <w:pPr>
      <w:keepNext w:val="true"/>
      <w:keepLines/>
      <w:numPr>
        <w:ilvl w:val="1"/>
        <w:numId w:val="1"/>
      </w:numPr>
      <w:pBdr>
        <w:bottom w:val="single" w:sz="4" w:space="1" w:color="000000"/>
      </w:pBdr>
      <w:spacing w:before="360" w:after="240"/>
      <w:outlineLvl w:val="1"/>
    </w:pPr>
    <w:rPr>
      <w:rFonts w:ascii="Cambria" w:hAnsi="Cambria" w:eastAsia="Segoe UI" w:cs="Tahoma"/>
      <w:b/>
      <w:bCs/>
      <w:smallCaps/>
      <w:color w:val="000000"/>
      <w:sz w:val="24"/>
      <w:szCs w:val="28"/>
    </w:rPr>
  </w:style>
  <w:style w:type="paragraph" w:styleId="Nagwek3">
    <w:name w:val="Heading 3"/>
    <w:basedOn w:val="Normal"/>
    <w:next w:val="Normal"/>
    <w:qFormat/>
    <w:pPr>
      <w:keepNext w:val="true"/>
      <w:keepLines/>
      <w:numPr>
        <w:ilvl w:val="2"/>
        <w:numId w:val="1"/>
      </w:numPr>
      <w:spacing w:before="200" w:after="120"/>
      <w:outlineLvl w:val="2"/>
    </w:pPr>
    <w:rPr>
      <w:rFonts w:ascii="Cambria" w:hAnsi="Cambria" w:eastAsia="Segoe UI" w:cs="Tahoma"/>
      <w:b/>
      <w:bCs/>
      <w:smallCaps/>
      <w:color w:val="000000"/>
    </w:rPr>
  </w:style>
  <w:style w:type="paragraph" w:styleId="Nagwek4">
    <w:name w:val="Heading 4"/>
    <w:basedOn w:val="Normal"/>
    <w:next w:val="Normal"/>
    <w:qFormat/>
    <w:pPr>
      <w:keepNext w:val="true"/>
      <w:keepLines/>
      <w:numPr>
        <w:ilvl w:val="3"/>
        <w:numId w:val="1"/>
      </w:numPr>
      <w:spacing w:before="200" w:after="0"/>
      <w:outlineLvl w:val="3"/>
    </w:pPr>
    <w:rPr>
      <w:rFonts w:ascii="Cambria" w:hAnsi="Cambria" w:eastAsia="Segoe UI" w:cs="Tahoma"/>
      <w:b/>
      <w:bCs/>
      <w:iCs/>
      <w:smallCaps/>
      <w:color w:val="000000"/>
    </w:rPr>
  </w:style>
  <w:style w:type="paragraph" w:styleId="Nagwek5">
    <w:name w:val="Heading 5"/>
    <w:basedOn w:val="Normal"/>
    <w:next w:val="Normal"/>
    <w:qFormat/>
    <w:pPr>
      <w:keepNext w:val="true"/>
      <w:keepLines/>
      <w:numPr>
        <w:ilvl w:val="4"/>
        <w:numId w:val="1"/>
      </w:numPr>
      <w:spacing w:before="200" w:after="0"/>
      <w:outlineLvl w:val="4"/>
    </w:pPr>
    <w:rPr>
      <w:rFonts w:ascii="Cambria" w:hAnsi="Cambria" w:eastAsia="Segoe UI" w:cs="Tahoma"/>
    </w:rPr>
  </w:style>
  <w:style w:type="paragraph" w:styleId="Nagwek6">
    <w:name w:val="Heading 6"/>
    <w:basedOn w:val="Normal"/>
    <w:next w:val="Normal"/>
    <w:qFormat/>
    <w:pPr>
      <w:keepNext w:val="true"/>
      <w:keepLines/>
      <w:numPr>
        <w:ilvl w:val="5"/>
        <w:numId w:val="1"/>
      </w:numPr>
      <w:spacing w:before="200" w:after="0"/>
      <w:outlineLvl w:val="5"/>
    </w:pPr>
    <w:rPr>
      <w:rFonts w:ascii="Cambria" w:hAnsi="Cambria" w:eastAsia="Segoe UI" w:cs="Tahoma"/>
      <w:i/>
      <w:iCs/>
      <w:color w:val="102326"/>
    </w:rPr>
  </w:style>
  <w:style w:type="paragraph" w:styleId="Nagwek7">
    <w:name w:val="Heading 7"/>
    <w:basedOn w:val="Normal"/>
    <w:next w:val="Normal"/>
    <w:qFormat/>
    <w:pPr>
      <w:keepNext w:val="true"/>
      <w:keepLines/>
      <w:numPr>
        <w:ilvl w:val="6"/>
        <w:numId w:val="1"/>
      </w:numPr>
      <w:spacing w:before="200" w:after="0"/>
      <w:ind w:left="5040" w:right="0" w:hanging="360"/>
      <w:outlineLvl w:val="6"/>
    </w:pPr>
    <w:rPr>
      <w:rFonts w:ascii="Cambria" w:hAnsi="Cambria" w:eastAsia="Segoe UI" w:cs="Tahoma"/>
      <w:i/>
      <w:iCs/>
      <w:color w:val="404040"/>
    </w:rPr>
  </w:style>
  <w:style w:type="paragraph" w:styleId="Nagwek8">
    <w:name w:val="Heading 8"/>
    <w:basedOn w:val="Normal"/>
    <w:next w:val="Normal"/>
    <w:qFormat/>
    <w:pPr>
      <w:keepNext w:val="true"/>
      <w:keepLines/>
      <w:numPr>
        <w:ilvl w:val="7"/>
        <w:numId w:val="1"/>
      </w:numPr>
      <w:spacing w:before="200" w:after="0"/>
      <w:ind w:left="5760" w:right="0" w:hanging="360"/>
      <w:outlineLvl w:val="7"/>
    </w:pPr>
    <w:rPr>
      <w:rFonts w:ascii="Cambria" w:hAnsi="Cambria" w:eastAsia="Segoe UI" w:cs="Tahoma"/>
      <w:color w:val="404040"/>
      <w:sz w:val="20"/>
      <w:szCs w:val="20"/>
    </w:rPr>
  </w:style>
  <w:style w:type="paragraph" w:styleId="Nagwek9">
    <w:name w:val="Heading 9"/>
    <w:basedOn w:val="Normal"/>
    <w:next w:val="Normal"/>
    <w:qFormat/>
    <w:pPr>
      <w:keepNext w:val="true"/>
      <w:keepLines/>
      <w:numPr>
        <w:ilvl w:val="8"/>
        <w:numId w:val="1"/>
      </w:numPr>
      <w:spacing w:before="200" w:after="0"/>
      <w:ind w:left="6480" w:right="0" w:hanging="360"/>
      <w:outlineLvl w:val="8"/>
    </w:pPr>
    <w:rPr>
      <w:rFonts w:ascii="Cambria" w:hAnsi="Cambria" w:eastAsia="Segoe UI" w:cs="Tahoma"/>
      <w:i/>
      <w:iCs/>
      <w:color w:val="404040"/>
      <w:sz w:val="20"/>
      <w:szCs w:val="20"/>
    </w:rPr>
  </w:style>
  <w:style w:type="character" w:styleId="DefaultParagraphFont">
    <w:name w:val="Default Paragraph Font"/>
    <w:qFormat/>
    <w:rPr/>
  </w:style>
  <w:style w:type="character" w:styleId="Nagwek1Znak">
    <w:name w:val="Nagłówek 1 Znak"/>
    <w:basedOn w:val="DefaultParagraphFont"/>
    <w:qFormat/>
    <w:rPr>
      <w:rFonts w:ascii="Cambria" w:hAnsi="Cambria" w:eastAsia="Segoe UI" w:cs="Tahoma"/>
      <w:b/>
      <w:bCs/>
      <w:smallCaps/>
      <w:color w:val="000000"/>
      <w:sz w:val="28"/>
      <w:szCs w:val="36"/>
      <w:shd w:fill="F2F2F2" w:val="clear"/>
    </w:rPr>
  </w:style>
  <w:style w:type="character" w:styleId="Nagwek2Znak">
    <w:name w:val="Nagłówek 2 Znak"/>
    <w:basedOn w:val="DefaultParagraphFont"/>
    <w:qFormat/>
    <w:rPr>
      <w:rFonts w:ascii="Cambria" w:hAnsi="Cambria" w:eastAsia="Segoe UI" w:cs="Tahoma"/>
      <w:b/>
      <w:bCs/>
      <w:smallCaps/>
      <w:color w:val="000000"/>
      <w:sz w:val="24"/>
      <w:szCs w:val="28"/>
    </w:rPr>
  </w:style>
  <w:style w:type="character" w:styleId="Nagwek3Znak">
    <w:name w:val="Nagłówek 3 Znak"/>
    <w:basedOn w:val="DefaultParagraphFont"/>
    <w:qFormat/>
    <w:rPr>
      <w:rFonts w:ascii="Cambria" w:hAnsi="Cambria" w:eastAsia="Segoe UI" w:cs="Tahoma"/>
      <w:b/>
      <w:bCs/>
      <w:smallCaps/>
      <w:color w:val="000000"/>
    </w:rPr>
  </w:style>
  <w:style w:type="character" w:styleId="Czeinternetowe">
    <w:name w:val="Łącze internetowe"/>
    <w:rPr>
      <w:color w:val="0000FF"/>
      <w:u w:val="single"/>
    </w:rPr>
  </w:style>
  <w:style w:type="character" w:styleId="Strong">
    <w:name w:val="Strong"/>
    <w:basedOn w:val="DefaultParagraphFont"/>
    <w:qFormat/>
    <w:rPr>
      <w:b/>
      <w:bCs/>
      <w:color w:val="000000"/>
    </w:rPr>
  </w:style>
  <w:style w:type="character" w:styleId="IntenseReference">
    <w:name w:val="Intense Reference"/>
    <w:basedOn w:val="DefaultParagraphFont"/>
    <w:qFormat/>
    <w:rPr>
      <w:b/>
      <w:bCs/>
      <w:smallCaps/>
      <w:u w:val="single"/>
    </w:rPr>
  </w:style>
  <w:style w:type="character" w:styleId="SubtleReference">
    <w:name w:val="Subtle Reference"/>
    <w:basedOn w:val="DefaultParagraphFont"/>
    <w:qFormat/>
    <w:rPr>
      <w:smallCaps/>
      <w:color w:val="404040"/>
      <w:u w:val="single" w:color="7F7F7F"/>
    </w:rPr>
  </w:style>
  <w:style w:type="character" w:styleId="StopkaZnak">
    <w:name w:val="Stopka Znak"/>
    <w:basedOn w:val="DefaultParagraphFont"/>
    <w:qFormat/>
    <w:rPr>
      <w:rFonts w:eastAsia="Times New Roman" w:cs="Times New Roman"/>
      <w:sz w:val="14"/>
      <w:lang w:eastAsia="pl-PL"/>
    </w:rPr>
  </w:style>
  <w:style w:type="character" w:styleId="PlaceholderText">
    <w:name w:val="Placeholder Text"/>
    <w:basedOn w:val="DefaultParagraphFont"/>
    <w:qFormat/>
    <w:rPr>
      <w:color w:val="808080"/>
    </w:rPr>
  </w:style>
  <w:style w:type="character" w:styleId="TekstdymkaZnak">
    <w:name w:val="Tekst dymka Znak"/>
    <w:basedOn w:val="DefaultParagraphFont"/>
    <w:qFormat/>
    <w:rPr>
      <w:rFonts w:ascii="Tahoma" w:hAnsi="Tahoma" w:eastAsia="Times New Roman" w:cs="Tahoma"/>
      <w:i/>
      <w:sz w:val="16"/>
      <w:szCs w:val="16"/>
      <w:lang w:eastAsia="pl-PL"/>
    </w:rPr>
  </w:style>
  <w:style w:type="character" w:styleId="NagwekZnak">
    <w:name w:val="Nagłówek Znak"/>
    <w:basedOn w:val="DefaultParagraphFont"/>
    <w:qFormat/>
    <w:rPr>
      <w:rFonts w:eastAsia="Times New Roman" w:cs="Times New Roman"/>
      <w:i/>
      <w:lang w:eastAsia="pl-PL"/>
    </w:rPr>
  </w:style>
  <w:style w:type="character" w:styleId="TabelkiZnak">
    <w:name w:val="tabelki Znak"/>
    <w:qFormat/>
    <w:rPr>
      <w:rFonts w:ascii="Tahoma" w:hAnsi="Tahoma" w:eastAsia="Times New Roman" w:cs="Times New Roman"/>
      <w:i/>
      <w:sz w:val="24"/>
      <w:szCs w:val="24"/>
      <w:lang w:eastAsia="pl-PL"/>
    </w:rPr>
  </w:style>
  <w:style w:type="character" w:styleId="Nierozpoznanawzmianka1">
    <w:name w:val="Nierozpoznana wzmianka1"/>
    <w:basedOn w:val="DefaultParagraphFont"/>
    <w:qFormat/>
    <w:rPr>
      <w:color w:val="808080"/>
      <w:shd w:fill="E6E6E6" w:val="clear"/>
    </w:rPr>
  </w:style>
  <w:style w:type="character" w:styleId="Nagwek4Znak">
    <w:name w:val="Nagłówek 4 Znak"/>
    <w:basedOn w:val="DefaultParagraphFont"/>
    <w:qFormat/>
    <w:rPr>
      <w:rFonts w:ascii="Cambria" w:hAnsi="Cambria" w:eastAsia="Segoe UI" w:cs="Tahoma"/>
      <w:b/>
      <w:bCs/>
      <w:iCs/>
      <w:smallCaps/>
      <w:color w:val="000000"/>
    </w:rPr>
  </w:style>
  <w:style w:type="character" w:styleId="Nagwek5Znak">
    <w:name w:val="Nagłówek 5 Znak"/>
    <w:basedOn w:val="DefaultParagraphFont"/>
    <w:qFormat/>
    <w:rPr>
      <w:rFonts w:ascii="Cambria" w:hAnsi="Cambria" w:eastAsia="Segoe UI" w:cs="Tahoma"/>
    </w:rPr>
  </w:style>
  <w:style w:type="character" w:styleId="Nierozpoznanawzmianka2">
    <w:name w:val="Nierozpoznana wzmianka2"/>
    <w:basedOn w:val="DefaultParagraphFont"/>
    <w:qFormat/>
    <w:rPr>
      <w:color w:val="605E5C"/>
      <w:shd w:fill="E1DFDD" w:val="clear"/>
    </w:rPr>
  </w:style>
  <w:style w:type="character" w:styleId="Annotationreference">
    <w:name w:val="annotation reference"/>
    <w:basedOn w:val="DefaultParagraphFont"/>
    <w:qFormat/>
    <w:rPr>
      <w:sz w:val="16"/>
      <w:szCs w:val="16"/>
    </w:rPr>
  </w:style>
  <w:style w:type="character" w:styleId="TekstkomentarzaZnak">
    <w:name w:val="Tekst komentarza Znak"/>
    <w:basedOn w:val="DefaultParagraphFont"/>
    <w:qFormat/>
    <w:rPr>
      <w:rFonts w:ascii="Tahoma" w:hAnsi="Tahoma" w:eastAsia="Times New Roman" w:cs="Times New Roman"/>
      <w:i/>
      <w:sz w:val="20"/>
      <w:szCs w:val="20"/>
      <w:lang w:eastAsia="pl-PL"/>
    </w:rPr>
  </w:style>
  <w:style w:type="character" w:styleId="TematkomentarzaZnak">
    <w:name w:val="Temat komentarza Znak"/>
    <w:basedOn w:val="TekstkomentarzaZnak"/>
    <w:qFormat/>
    <w:rPr>
      <w:rFonts w:ascii="Tahoma" w:hAnsi="Tahoma" w:eastAsia="Times New Roman" w:cs="Times New Roman"/>
      <w:b/>
      <w:bCs/>
      <w:i/>
      <w:sz w:val="20"/>
      <w:szCs w:val="20"/>
      <w:lang w:eastAsia="pl-PL"/>
    </w:rPr>
  </w:style>
  <w:style w:type="character" w:styleId="Wyrnienie">
    <w:name w:val="Wyróżnienie"/>
    <w:basedOn w:val="DefaultParagraphFont"/>
    <w:qFormat/>
    <w:rPr>
      <w:i/>
      <w:iCs/>
      <w:color w:val="auto"/>
    </w:rPr>
  </w:style>
  <w:style w:type="character" w:styleId="PUNKTORYZnak">
    <w:name w:val="PUNKTORY Znak"/>
    <w:qFormat/>
    <w:rPr>
      <w:rFonts w:cs="Tahoma"/>
    </w:rPr>
  </w:style>
  <w:style w:type="character" w:styleId="Nagwek6Znak">
    <w:name w:val="Nagłówek 6 Znak"/>
    <w:basedOn w:val="DefaultParagraphFont"/>
    <w:qFormat/>
    <w:rPr>
      <w:rFonts w:ascii="Cambria" w:hAnsi="Cambria" w:eastAsia="Segoe UI" w:cs="Tahoma"/>
      <w:i/>
      <w:iCs/>
      <w:color w:val="102326"/>
    </w:rPr>
  </w:style>
  <w:style w:type="character" w:styleId="Nagwek7Znak">
    <w:name w:val="Nagłówek 7 Znak"/>
    <w:basedOn w:val="DefaultParagraphFont"/>
    <w:qFormat/>
    <w:rPr>
      <w:rFonts w:ascii="Cambria" w:hAnsi="Cambria" w:eastAsia="Segoe UI" w:cs="Tahoma"/>
      <w:i/>
      <w:iCs/>
      <w:color w:val="404040"/>
    </w:rPr>
  </w:style>
  <w:style w:type="character" w:styleId="Nagwek8Znak">
    <w:name w:val="Nagłówek 8 Znak"/>
    <w:basedOn w:val="DefaultParagraphFont"/>
    <w:qFormat/>
    <w:rPr>
      <w:rFonts w:ascii="Cambria" w:hAnsi="Cambria" w:eastAsia="Segoe UI" w:cs="Tahoma"/>
      <w:color w:val="404040"/>
      <w:sz w:val="20"/>
      <w:szCs w:val="20"/>
    </w:rPr>
  </w:style>
  <w:style w:type="character" w:styleId="Nagwek9Znak">
    <w:name w:val="Nagłówek 9 Znak"/>
    <w:basedOn w:val="DefaultParagraphFont"/>
    <w:qFormat/>
    <w:rPr>
      <w:rFonts w:ascii="Cambria" w:hAnsi="Cambria" w:eastAsia="Segoe UI" w:cs="Tahoma"/>
      <w:i/>
      <w:iCs/>
      <w:color w:val="404040"/>
      <w:sz w:val="20"/>
      <w:szCs w:val="20"/>
    </w:rPr>
  </w:style>
  <w:style w:type="character" w:styleId="TytuZnak">
    <w:name w:val="Tytuł Znak"/>
    <w:basedOn w:val="DefaultParagraphFont"/>
    <w:qFormat/>
    <w:rPr/>
  </w:style>
  <w:style w:type="character" w:styleId="PodtytuZnak">
    <w:name w:val="Podtytuł Znak"/>
    <w:basedOn w:val="DefaultParagraphFont"/>
    <w:qFormat/>
    <w:rPr>
      <w:color w:val="5A5A5A"/>
      <w:spacing w:val="10"/>
    </w:rPr>
  </w:style>
  <w:style w:type="character" w:styleId="CytatZnak">
    <w:name w:val="Cytat Znak"/>
    <w:basedOn w:val="DefaultParagraphFont"/>
    <w:qFormat/>
    <w:rPr>
      <w:i/>
      <w:iCs/>
      <w:color w:val="000000"/>
    </w:rPr>
  </w:style>
  <w:style w:type="character" w:styleId="CytatintensywnyZnak">
    <w:name w:val="Cytat intensywny Znak"/>
    <w:basedOn w:val="DefaultParagraphFont"/>
    <w:qFormat/>
    <w:rPr>
      <w:color w:val="000000"/>
      <w:shd w:fill="F2F2F2" w:val="clear"/>
    </w:rPr>
  </w:style>
  <w:style w:type="character" w:styleId="SubtleEmphasis">
    <w:name w:val="Subtle Emphasis"/>
    <w:basedOn w:val="DefaultParagraphFont"/>
    <w:qFormat/>
    <w:rPr>
      <w:i/>
      <w:iCs/>
      <w:color w:val="404040"/>
    </w:rPr>
  </w:style>
  <w:style w:type="character" w:styleId="IntenseEmphasis">
    <w:name w:val="Intense Emphasis"/>
    <w:basedOn w:val="DefaultParagraphFont"/>
    <w:qFormat/>
    <w:rPr>
      <w:b/>
      <w:bCs/>
      <w:i/>
      <w:iCs/>
      <w:caps/>
    </w:rPr>
  </w:style>
  <w:style w:type="character" w:styleId="BookTitle">
    <w:name w:val="Book Title"/>
    <w:basedOn w:val="DefaultParagraphFont"/>
    <w:qFormat/>
    <w:rPr>
      <w:b w:val="false"/>
      <w:bCs w:val="false"/>
      <w:smallCaps/>
      <w:spacing w:val="5"/>
    </w:rPr>
  </w:style>
  <w:style w:type="character" w:styleId="TekstprzypisukocowegoZnak">
    <w:name w:val="Tekst przypisu końcowego Znak"/>
    <w:basedOn w:val="DefaultParagraphFont"/>
    <w:qFormat/>
    <w:rPr>
      <w:sz w:val="20"/>
      <w:szCs w:val="20"/>
    </w:rPr>
  </w:style>
  <w:style w:type="character" w:styleId="Zakotwiczenieprzypisukocowego">
    <w:name w:val="Zakotwiczenie przypisu końcowego"/>
    <w:rPr>
      <w:vertAlign w:val="superscript"/>
    </w:rPr>
  </w:style>
  <w:style w:type="character" w:styleId="EndnoteCharacters">
    <w:name w:val="Endnote Characters"/>
    <w:basedOn w:val="DefaultParagraphFont"/>
    <w:qFormat/>
    <w:rPr>
      <w:vertAlign w:val="superscript"/>
    </w:rPr>
  </w:style>
  <w:style w:type="character" w:styleId="Tekst115Znak">
    <w:name w:val=".Tekst 1.15 Znak"/>
    <w:qFormat/>
    <w:rPr>
      <w:rFonts w:ascii="Arial Narrow" w:hAnsi="Arial Narrow" w:eastAsia="Calibri" w:cs="Times New Roman"/>
      <w:sz w:val="24"/>
      <w:szCs w:val="24"/>
    </w:rPr>
  </w:style>
  <w:style w:type="character" w:styleId="TekstprzypisudolnegoZnak">
    <w:name w:val="Tekst przypisu dolnego Znak"/>
    <w:basedOn w:val="DefaultParagraphFont"/>
    <w:qFormat/>
    <w:rPr>
      <w:sz w:val="20"/>
      <w:szCs w:val="20"/>
    </w:rPr>
  </w:style>
  <w:style w:type="character" w:styleId="Zakotwiczenieprzypisudolnego">
    <w:name w:val="Zakotwiczenie przypisu dolnego"/>
    <w:rPr>
      <w:vertAlign w:val="superscript"/>
    </w:rPr>
  </w:style>
  <w:style w:type="character" w:styleId="FootnoteCharacters">
    <w:name w:val="Footnote Characters"/>
    <w:basedOn w:val="DefaultParagraphFont"/>
    <w:qFormat/>
    <w:rPr>
      <w:vertAlign w:val="superscript"/>
    </w:rPr>
  </w:style>
  <w:style w:type="character" w:styleId="Odwiedzoneczeinternetowe">
    <w:name w:val="Odwiedzone łącze internetowe"/>
    <w:basedOn w:val="DefaultParagraphFont"/>
    <w:rPr>
      <w:color w:val="954F72"/>
      <w:u w:val="single"/>
    </w:rPr>
  </w:style>
  <w:style w:type="character" w:styleId="UnresolvedMention">
    <w:name w:val="Unresolved Mention"/>
    <w:basedOn w:val="DefaultParagraphFont"/>
    <w:qFormat/>
    <w:rPr>
      <w:color w:val="605E5C"/>
      <w:shd w:fill="E1DFDD" w:val="clear"/>
    </w:rPr>
  </w:style>
  <w:style w:type="character" w:styleId="TekstpodstawowyZnak">
    <w:name w:val="Tekst podstawowy Znak"/>
    <w:basedOn w:val="DefaultParagraphFont"/>
    <w:qFormat/>
    <w:rPr>
      <w:rFonts w:ascii="Times New Roman" w:hAnsi="Times New Roman" w:eastAsia="Times New Roman" w:cs="Times New Roman"/>
      <w:kern w:val="2"/>
      <w:sz w:val="24"/>
      <w:szCs w:val="24"/>
      <w:lang w:eastAsia="ar-SA"/>
    </w:rPr>
  </w:style>
  <w:style w:type="character" w:styleId="Textcenter">
    <w:name w:val="text-center"/>
    <w:basedOn w:val="DefaultParagraphFont"/>
    <w:qFormat/>
    <w:rPr/>
  </w:style>
  <w:style w:type="character" w:styleId="Albs">
    <w:name w:val="a_lb-s"/>
    <w:basedOn w:val="DefaultParagraphFont"/>
    <w:qFormat/>
    <w:rPr/>
  </w:style>
  <w:style w:type="character" w:styleId="Czeindeksu">
    <w:name w:val="Łącze indeksu"/>
    <w:qFormat/>
    <w:rPr/>
  </w:style>
  <w:style w:type="character" w:styleId="Mocnewyrnione">
    <w:name w:val="Mocne wyróżnione"/>
    <w:qFormat/>
    <w:rPr>
      <w:b/>
      <w:bCs/>
    </w:rPr>
  </w:style>
  <w:style w:type="character" w:styleId="Znakiwypunktowania">
    <w:name w:val="Znaki wypunktowania"/>
    <w:qFormat/>
    <w:rPr>
      <w:rFonts w:ascii="OpenSymbol" w:hAnsi="OpenSymbol" w:eastAsia="OpenSymbol" w:cs="OpenSymbol"/>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pPr>
      <w:suppressAutoHyphens w:val="true"/>
      <w:spacing w:lineRule="auto" w:line="240" w:before="0" w:after="120"/>
      <w:jc w:val="left"/>
    </w:pPr>
    <w:rPr>
      <w:rFonts w:ascii="Times New Roman" w:hAnsi="Times New Roman" w:eastAsia="Times New Roman" w:cs="Times New Roman"/>
      <w:kern w:val="2"/>
      <w:sz w:val="24"/>
      <w:szCs w:val="24"/>
      <w:lang w:eastAsia="ar-SA"/>
    </w:rPr>
  </w:style>
  <w:style w:type="paragraph" w:styleId="Lista">
    <w:name w:val="List"/>
    <w:basedOn w:val="Tretekstu"/>
    <w:pPr/>
    <w:rPr>
      <w:rFonts w:cs="Arial"/>
    </w:rPr>
  </w:style>
  <w:style w:type="paragraph" w:styleId="Podpis">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lang w:val="zxx" w:eastAsia="zxx" w:bidi="zxx"/>
    </w:rPr>
  </w:style>
  <w:style w:type="paragraph" w:styleId="Stopkanrstrony">
    <w:name w:val="Stopka - nr strony"/>
    <w:basedOn w:val="Normal"/>
    <w:next w:val="Normal"/>
    <w:qFormat/>
    <w:pPr>
      <w:spacing w:lineRule="auto" w:line="240"/>
      <w:jc w:val="center"/>
    </w:pPr>
    <w:rPr>
      <w:rFonts w:ascii="Times New Roman" w:hAnsi="Times New Roman"/>
      <w:sz w:val="20"/>
    </w:rPr>
  </w:style>
  <w:style w:type="paragraph" w:styleId="Wypunktowanie">
    <w:name w:val="wypunktowanie"/>
    <w:basedOn w:val="Normal"/>
    <w:next w:val="Normal"/>
    <w:qFormat/>
    <w:pPr>
      <w:numPr>
        <w:ilvl w:val="0"/>
        <w:numId w:val="2"/>
      </w:numPr>
      <w:spacing w:before="0" w:after="0"/>
    </w:pPr>
    <w:rPr/>
  </w:style>
  <w:style w:type="paragraph" w:styleId="TOCHeading">
    <w:name w:val="TOC Heading"/>
    <w:basedOn w:val="Nagwekindeksu"/>
    <w:next w:val="Normal"/>
    <w:qFormat/>
    <w:pPr>
      <w:numPr>
        <w:ilvl w:val="0"/>
        <w:numId w:val="0"/>
      </w:numPr>
      <w:suppressLineNumbers/>
      <w:ind w:left="0" w:right="0" w:hanging="0"/>
    </w:pPr>
    <w:rPr>
      <w:b/>
      <w:bCs/>
      <w:sz w:val="32"/>
      <w:szCs w:val="32"/>
    </w:rPr>
  </w:style>
  <w:style w:type="paragraph" w:styleId="Nagwekindeksu">
    <w:name w:val="Index Heading"/>
    <w:basedOn w:val="Nagwek"/>
    <w:pPr>
      <w:suppressLineNumbers/>
      <w:ind w:left="0" w:right="0" w:hanging="0"/>
    </w:pPr>
    <w:rPr>
      <w:b/>
      <w:bCs/>
      <w:sz w:val="32"/>
      <w:szCs w:val="32"/>
    </w:rPr>
  </w:style>
  <w:style w:type="paragraph" w:styleId="Spistreci1">
    <w:name w:val="TOC 1"/>
    <w:basedOn w:val="Normal"/>
    <w:next w:val="Normal"/>
    <w:autoRedefine/>
    <w:pPr>
      <w:tabs>
        <w:tab w:val="clear" w:pos="708"/>
        <w:tab w:val="left" w:pos="142" w:leader="none"/>
        <w:tab w:val="left" w:pos="426" w:leader="none"/>
        <w:tab w:val="right" w:pos="9062" w:leader="dot"/>
      </w:tabs>
      <w:spacing w:before="0" w:after="0"/>
    </w:pPr>
    <w:rPr>
      <w:b/>
      <w:bCs/>
    </w:rPr>
  </w:style>
  <w:style w:type="paragraph" w:styleId="Spistreci2">
    <w:name w:val="TOC 2"/>
    <w:basedOn w:val="Normal"/>
    <w:next w:val="Normal"/>
    <w:autoRedefine/>
    <w:pPr>
      <w:tabs>
        <w:tab w:val="clear" w:pos="708"/>
        <w:tab w:val="left" w:pos="284" w:leader="none"/>
        <w:tab w:val="left" w:pos="709" w:leader="none"/>
        <w:tab w:val="right" w:pos="9062" w:leader="dot"/>
      </w:tabs>
      <w:spacing w:before="0" w:after="0"/>
      <w:ind w:left="284" w:right="0" w:hanging="284"/>
    </w:pPr>
    <w:rPr>
      <w:sz w:val="20"/>
    </w:rPr>
  </w:style>
  <w:style w:type="paragraph" w:styleId="Spistreci3">
    <w:name w:val="TOC 3"/>
    <w:basedOn w:val="Normal"/>
    <w:next w:val="Normal"/>
    <w:autoRedefine/>
    <w:pPr>
      <w:tabs>
        <w:tab w:val="clear" w:pos="708"/>
        <w:tab w:val="left" w:pos="1929" w:leader="none"/>
        <w:tab w:val="right" w:pos="9062" w:leader="dot"/>
      </w:tabs>
      <w:spacing w:before="0" w:after="0"/>
      <w:ind w:left="1134" w:right="0" w:hanging="0"/>
    </w:pPr>
    <w:rPr>
      <w:sz w:val="18"/>
    </w:rPr>
  </w:style>
  <w:style w:type="paragraph" w:styleId="Wypunktowanie2">
    <w:name w:val="wypunktowanie 2"/>
    <w:basedOn w:val="Wypunktowanie"/>
    <w:qFormat/>
    <w:pPr>
      <w:numPr>
        <w:ilvl w:val="0"/>
        <w:numId w:val="3"/>
      </w:numPr>
    </w:pPr>
    <w:rPr/>
  </w:style>
  <w:style w:type="paragraph" w:styleId="Gwkaistopka">
    <w:name w:val="Główka i stopka"/>
    <w:basedOn w:val="Normal"/>
    <w:qFormat/>
    <w:pPr/>
    <w:rPr/>
  </w:style>
  <w:style w:type="paragraph" w:styleId="Stopka">
    <w:name w:val="Footer"/>
    <w:basedOn w:val="Normal"/>
    <w:pPr>
      <w:tabs>
        <w:tab w:val="clear" w:pos="708"/>
        <w:tab w:val="center" w:pos="4536" w:leader="none"/>
        <w:tab w:val="right" w:pos="9072" w:leader="none"/>
      </w:tabs>
      <w:jc w:val="center"/>
    </w:pPr>
    <w:rPr>
      <w:i/>
      <w:sz w:val="14"/>
    </w:rPr>
  </w:style>
  <w:style w:type="paragraph" w:styleId="BalloonText">
    <w:name w:val="Balloon Text"/>
    <w:basedOn w:val="Normal"/>
    <w:qFormat/>
    <w:pPr>
      <w:spacing w:lineRule="auto" w:line="240" w:before="0" w:after="0"/>
    </w:pPr>
    <w:rPr>
      <w:rFonts w:cs="Tahoma"/>
      <w:sz w:val="16"/>
      <w:szCs w:val="16"/>
    </w:rPr>
  </w:style>
  <w:style w:type="paragraph" w:styleId="Gwka">
    <w:name w:val="Header"/>
    <w:basedOn w:val="Normal"/>
    <w:pPr>
      <w:tabs>
        <w:tab w:val="clear" w:pos="708"/>
        <w:tab w:val="center" w:pos="4536" w:leader="none"/>
        <w:tab w:val="right" w:pos="9072" w:leader="none"/>
      </w:tabs>
      <w:spacing w:lineRule="auto" w:line="240" w:before="0" w:after="0"/>
    </w:pPr>
    <w:rPr/>
  </w:style>
  <w:style w:type="paragraph" w:styleId="Tabelki">
    <w:name w:val="tabelki"/>
    <w:basedOn w:val="Normal"/>
    <w:qFormat/>
    <w:pPr>
      <w:spacing w:lineRule="auto" w:line="240" w:before="0" w:after="0"/>
    </w:pPr>
    <w:rPr>
      <w:szCs w:val="24"/>
    </w:rPr>
  </w:style>
  <w:style w:type="paragraph" w:styleId="Numerowanie">
    <w:name w:val="Numerowanie"/>
    <w:basedOn w:val="Normal"/>
    <w:next w:val="Normal"/>
    <w:qFormat/>
    <w:pPr>
      <w:numPr>
        <w:ilvl w:val="0"/>
        <w:numId w:val="4"/>
      </w:numPr>
      <w:tabs>
        <w:tab w:val="clear" w:pos="708"/>
        <w:tab w:val="left" w:pos="1134" w:leader="none"/>
      </w:tabs>
      <w:ind w:left="709" w:right="0" w:hanging="0"/>
    </w:pPr>
    <w:rPr>
      <w:rFonts w:ascii="Times New Roman" w:hAnsi="Times New Roman"/>
    </w:rPr>
  </w:style>
  <w:style w:type="paragraph" w:styleId="Normalnycytat">
    <w:name w:val="Normalny - cytat"/>
    <w:basedOn w:val="Normal"/>
    <w:next w:val="Normal"/>
    <w:qFormat/>
    <w:pPr/>
    <w:rPr>
      <w:rFonts w:ascii="Century Gothic" w:hAnsi="Century Gothic"/>
      <w:i/>
    </w:rPr>
  </w:style>
  <w:style w:type="paragraph" w:styleId="ListParagraph">
    <w:name w:val="List Paragraph"/>
    <w:basedOn w:val="Normal"/>
    <w:qFormat/>
    <w:pPr>
      <w:spacing w:before="0" w:after="160"/>
      <w:ind w:left="720" w:right="0" w:hanging="0"/>
      <w:contextualSpacing/>
    </w:pPr>
    <w:rPr/>
  </w:style>
  <w:style w:type="paragraph" w:styleId="Annotationtext">
    <w:name w:val="annotation text"/>
    <w:basedOn w:val="Normal"/>
    <w:qFormat/>
    <w:pPr>
      <w:spacing w:lineRule="auto" w:line="240"/>
    </w:pPr>
    <w:rPr>
      <w:sz w:val="20"/>
      <w:szCs w:val="20"/>
    </w:rPr>
  </w:style>
  <w:style w:type="paragraph" w:styleId="Annotationsubject">
    <w:name w:val="annotation subject"/>
    <w:basedOn w:val="Annotationtext"/>
    <w:next w:val="Annotationtext"/>
    <w:qFormat/>
    <w:pPr/>
    <w:rPr>
      <w:b/>
      <w:bCs/>
    </w:rPr>
  </w:style>
  <w:style w:type="paragraph" w:styleId="PUNKTORY">
    <w:name w:val="PUNKTORY"/>
    <w:basedOn w:val="ListParagraph"/>
    <w:qFormat/>
    <w:pPr>
      <w:numPr>
        <w:ilvl w:val="0"/>
        <w:numId w:val="5"/>
      </w:numPr>
      <w:tabs>
        <w:tab w:val="clear" w:pos="708"/>
        <w:tab w:val="left" w:pos="720" w:leader="none"/>
      </w:tabs>
      <w:spacing w:before="0" w:after="0"/>
      <w:contextualSpacing/>
    </w:pPr>
    <w:rPr>
      <w:rFonts w:cs="Tahoma"/>
    </w:rPr>
  </w:style>
  <w:style w:type="paragraph" w:styleId="Caption">
    <w:name w:val="caption"/>
    <w:basedOn w:val="Normal"/>
    <w:next w:val="Normal"/>
    <w:qFormat/>
    <w:pPr>
      <w:spacing w:lineRule="auto" w:line="240" w:before="0" w:after="200"/>
    </w:pPr>
    <w:rPr>
      <w:i/>
      <w:iCs/>
      <w:color w:val="162F33"/>
      <w:sz w:val="18"/>
      <w:szCs w:val="18"/>
    </w:rPr>
  </w:style>
  <w:style w:type="paragraph" w:styleId="Tytu">
    <w:name w:val="Title"/>
    <w:basedOn w:val="Wypunktowanie"/>
    <w:next w:val="Normal"/>
    <w:qFormat/>
    <w:pPr/>
    <w:rPr/>
  </w:style>
  <w:style w:type="paragraph" w:styleId="Podtytu">
    <w:name w:val="Subtitle"/>
    <w:basedOn w:val="Normal"/>
    <w:next w:val="Normal"/>
    <w:qFormat/>
    <w:pPr/>
    <w:rPr>
      <w:color w:val="5A5A5A"/>
      <w:spacing w:val="10"/>
    </w:rPr>
  </w:style>
  <w:style w:type="paragraph" w:styleId="NoSpacing">
    <w:name w:val="No Spacing"/>
    <w:qFormat/>
    <w:pPr>
      <w:widowControl/>
      <w:suppressAutoHyphens w:val="true"/>
      <w:overflowPunct w:val="false"/>
      <w:bidi w:val="0"/>
      <w:spacing w:lineRule="auto" w:line="240" w:before="0" w:after="0"/>
      <w:jc w:val="left"/>
    </w:pPr>
    <w:rPr>
      <w:rFonts w:ascii="Cambria" w:hAnsi="Cambria" w:eastAsia="Segoe UI" w:cs="Tahoma"/>
      <w:color w:val="auto"/>
      <w:kern w:val="0"/>
      <w:sz w:val="22"/>
      <w:szCs w:val="22"/>
      <w:lang w:val="pl-PL" w:eastAsia="en-US" w:bidi="ar-SA"/>
    </w:rPr>
  </w:style>
  <w:style w:type="paragraph" w:styleId="Quote">
    <w:name w:val="Quote"/>
    <w:basedOn w:val="Normal"/>
    <w:next w:val="Normal"/>
    <w:qFormat/>
    <w:pPr>
      <w:spacing w:before="160" w:after="160"/>
      <w:ind w:left="720" w:right="720" w:hanging="0"/>
    </w:pPr>
    <w:rPr>
      <w:i/>
      <w:iCs/>
      <w:color w:val="000000"/>
    </w:rPr>
  </w:style>
  <w:style w:type="paragraph" w:styleId="IntenseQuote">
    <w:name w:val="Intense Quote"/>
    <w:basedOn w:val="Normal"/>
    <w:next w:val="Normal"/>
    <w:qFormat/>
    <w:pPr>
      <w:pBdr>
        <w:top w:val="single" w:sz="24" w:space="1" w:color="F2F2F2"/>
        <w:bottom w:val="single" w:sz="24" w:space="1" w:color="F2F2F2"/>
      </w:pBdr>
      <w:shd w:val="clear" w:fill="F2F2F2"/>
      <w:spacing w:before="240" w:after="240"/>
      <w:ind w:left="936" w:right="936" w:hanging="0"/>
      <w:jc w:val="center"/>
    </w:pPr>
    <w:rPr>
      <w:color w:val="000000"/>
    </w:rPr>
  </w:style>
  <w:style w:type="paragraph" w:styleId="Standard">
    <w:name w:val="Standard"/>
    <w:qFormat/>
    <w:pPr>
      <w:widowControl/>
      <w:suppressAutoHyphens w:val="true"/>
      <w:overflowPunct w:val="false"/>
      <w:bidi w:val="0"/>
      <w:spacing w:lineRule="auto" w:line="360" w:before="120" w:after="0"/>
      <w:jc w:val="left"/>
      <w:textAlignment w:val="baseline"/>
    </w:pPr>
    <w:rPr>
      <w:rFonts w:ascii="Arial" w:hAnsi="Arial" w:eastAsia="Times New Roman" w:cs="Arial"/>
      <w:color w:val="auto"/>
      <w:kern w:val="2"/>
      <w:sz w:val="22"/>
      <w:szCs w:val="22"/>
      <w:lang w:val="pl-PL" w:eastAsia="zh-CN" w:bidi="ar-SA"/>
    </w:rPr>
  </w:style>
  <w:style w:type="paragraph" w:styleId="Normalnypierwszyakapit">
    <w:name w:val="Normalny pierwszy akapit"/>
    <w:basedOn w:val="Standard"/>
    <w:qFormat/>
    <w:pPr/>
    <w:rPr/>
  </w:style>
  <w:style w:type="paragraph" w:styleId="Przypiskocowy">
    <w:name w:val="Endnote Text"/>
    <w:basedOn w:val="Normal"/>
    <w:pPr>
      <w:spacing w:lineRule="auto" w:line="240" w:before="0" w:after="0"/>
    </w:pPr>
    <w:rPr>
      <w:sz w:val="20"/>
      <w:szCs w:val="20"/>
    </w:rPr>
  </w:style>
  <w:style w:type="paragraph" w:styleId="Tekst115">
    <w:name w:val=".Tekst 1.15"/>
    <w:basedOn w:val="Normal"/>
    <w:qFormat/>
    <w:pPr>
      <w:spacing w:before="0" w:after="0"/>
      <w:ind w:left="0" w:right="0" w:firstLine="397"/>
    </w:pPr>
    <w:rPr>
      <w:rFonts w:ascii="Arial Narrow" w:hAnsi="Arial Narrow" w:eastAsia="Calibri" w:cs="Times New Roman"/>
      <w:sz w:val="24"/>
      <w:szCs w:val="24"/>
    </w:rPr>
  </w:style>
  <w:style w:type="paragraph" w:styleId="Przypisdolny">
    <w:name w:val="Footnote Text"/>
    <w:basedOn w:val="Normal"/>
    <w:pPr>
      <w:spacing w:lineRule="auto" w:line="240" w:before="0" w:after="0"/>
    </w:pPr>
    <w:rPr>
      <w:sz w:val="20"/>
      <w:szCs w:val="20"/>
    </w:rPr>
  </w:style>
  <w:style w:type="paragraph" w:styleId="Msonormal">
    <w:name w:val="msonormal"/>
    <w:basedOn w:val="Normal"/>
    <w:qFormat/>
    <w:pPr>
      <w:spacing w:lineRule="auto" w:line="240" w:before="280" w:after="280"/>
      <w:jc w:val="left"/>
    </w:pPr>
    <w:rPr>
      <w:rFonts w:ascii="Times New Roman" w:hAnsi="Times New Roman" w:eastAsia="Times New Roman" w:cs="Times New Roman"/>
      <w:sz w:val="24"/>
      <w:szCs w:val="24"/>
      <w:lang w:eastAsia="pl-PL"/>
    </w:rPr>
  </w:style>
  <w:style w:type="paragraph" w:styleId="Xl69">
    <w:name w:val="xl69"/>
    <w:basedOn w:val="Normal"/>
    <w:qFormat/>
    <w:pPr>
      <w:pBdr>
        <w:top w:val="single" w:sz="4" w:space="0" w:color="000000"/>
        <w:left w:val="single" w:sz="4" w:space="0" w:color="000000"/>
        <w:bottom w:val="single" w:sz="4" w:space="0" w:color="000000"/>
        <w:right w:val="single" w:sz="4" w:space="0" w:color="000000"/>
      </w:pBdr>
      <w:spacing w:lineRule="auto" w:line="240" w:before="280" w:after="280"/>
      <w:jc w:val="center"/>
      <w:textAlignment w:val="center"/>
    </w:pPr>
    <w:rPr>
      <w:rFonts w:ascii="Times New Roman" w:hAnsi="Times New Roman" w:eastAsia="Times New Roman" w:cs="Times New Roman"/>
      <w:sz w:val="24"/>
      <w:szCs w:val="24"/>
      <w:lang w:eastAsia="pl-PL"/>
    </w:rPr>
  </w:style>
  <w:style w:type="paragraph" w:styleId="Xl70">
    <w:name w:val="xl70"/>
    <w:basedOn w:val="Normal"/>
    <w:qFormat/>
    <w:pPr>
      <w:pBdr>
        <w:top w:val="single" w:sz="4" w:space="0" w:color="000000"/>
        <w:left w:val="single" w:sz="4" w:space="0" w:color="000000"/>
        <w:bottom w:val="single" w:sz="4" w:space="0" w:color="000000"/>
        <w:right w:val="single" w:sz="4" w:space="0" w:color="000000"/>
      </w:pBdr>
      <w:spacing w:lineRule="auto" w:line="240" w:before="280" w:after="280"/>
      <w:jc w:val="center"/>
      <w:textAlignment w:val="center"/>
    </w:pPr>
    <w:rPr>
      <w:rFonts w:ascii="Times New Roman" w:hAnsi="Times New Roman" w:eastAsia="Times New Roman" w:cs="Times New Roman"/>
      <w:sz w:val="24"/>
      <w:szCs w:val="24"/>
      <w:lang w:eastAsia="pl-PL"/>
    </w:rPr>
  </w:style>
  <w:style w:type="paragraph" w:styleId="Xl71">
    <w:name w:val="xl71"/>
    <w:basedOn w:val="Normal"/>
    <w:qFormat/>
    <w:pPr>
      <w:pBdr>
        <w:top w:val="single" w:sz="4" w:space="0" w:color="000000"/>
        <w:left w:val="single" w:sz="4" w:space="0" w:color="000000"/>
        <w:bottom w:val="single" w:sz="4" w:space="0" w:color="000000"/>
        <w:right w:val="single" w:sz="4" w:space="0" w:color="000000"/>
      </w:pBdr>
      <w:spacing w:lineRule="auto" w:line="240" w:before="280" w:after="280"/>
      <w:jc w:val="center"/>
      <w:textAlignment w:val="center"/>
    </w:pPr>
    <w:rPr>
      <w:rFonts w:ascii="Times New Roman" w:hAnsi="Times New Roman" w:eastAsia="Times New Roman" w:cs="Times New Roman"/>
      <w:sz w:val="24"/>
      <w:szCs w:val="24"/>
      <w:lang w:eastAsia="pl-PL"/>
    </w:rPr>
  </w:style>
  <w:style w:type="paragraph" w:styleId="Xl72">
    <w:name w:val="xl72"/>
    <w:basedOn w:val="Normal"/>
    <w:qFormat/>
    <w:pPr>
      <w:pBdr>
        <w:top w:val="single" w:sz="4" w:space="0" w:color="000000"/>
        <w:left w:val="single" w:sz="4" w:space="0" w:color="000000"/>
        <w:bottom w:val="single" w:sz="4" w:space="0" w:color="000000"/>
        <w:right w:val="single" w:sz="4" w:space="0" w:color="000000"/>
      </w:pBdr>
      <w:spacing w:lineRule="auto" w:line="240" w:before="280" w:after="280"/>
      <w:jc w:val="center"/>
      <w:textAlignment w:val="center"/>
    </w:pPr>
    <w:rPr>
      <w:rFonts w:ascii="Times New Roman" w:hAnsi="Times New Roman" w:eastAsia="Times New Roman" w:cs="Times New Roman"/>
      <w:sz w:val="24"/>
      <w:szCs w:val="24"/>
      <w:lang w:eastAsia="pl-PL"/>
    </w:rPr>
  </w:style>
  <w:style w:type="paragraph" w:styleId="Xl73">
    <w:name w:val="xl73"/>
    <w:basedOn w:val="Normal"/>
    <w:qFormat/>
    <w:pPr>
      <w:pBdr>
        <w:top w:val="single" w:sz="4" w:space="0" w:color="000000"/>
        <w:left w:val="single" w:sz="4" w:space="0" w:color="000000"/>
        <w:bottom w:val="single" w:sz="4" w:space="0" w:color="000000"/>
        <w:right w:val="single" w:sz="4" w:space="0" w:color="000000"/>
      </w:pBdr>
      <w:spacing w:lineRule="auto" w:line="240" w:before="280" w:after="280"/>
      <w:jc w:val="center"/>
      <w:textAlignment w:val="center"/>
    </w:pPr>
    <w:rPr>
      <w:rFonts w:ascii="Times New Roman" w:hAnsi="Times New Roman" w:eastAsia="Times New Roman" w:cs="Times New Roman"/>
      <w:sz w:val="24"/>
      <w:szCs w:val="24"/>
      <w:lang w:eastAsia="pl-PL"/>
    </w:rPr>
  </w:style>
  <w:style w:type="paragraph" w:styleId="Xl74">
    <w:name w:val="xl74"/>
    <w:basedOn w:val="Normal"/>
    <w:qFormat/>
    <w:pPr>
      <w:pBdr>
        <w:top w:val="single" w:sz="4" w:space="0" w:color="000000"/>
        <w:left w:val="single" w:sz="4" w:space="0" w:color="000000"/>
        <w:bottom w:val="single" w:sz="4" w:space="0" w:color="000000"/>
        <w:right w:val="single" w:sz="4" w:space="0" w:color="000000"/>
      </w:pBdr>
      <w:shd w:val="clear" w:fill="FFFFCC"/>
      <w:spacing w:lineRule="auto" w:line="240" w:before="280" w:after="280"/>
      <w:jc w:val="center"/>
      <w:textAlignment w:val="center"/>
    </w:pPr>
    <w:rPr>
      <w:rFonts w:ascii="Times New Roman" w:hAnsi="Times New Roman" w:eastAsia="Times New Roman" w:cs="Times New Roman"/>
      <w:sz w:val="24"/>
      <w:szCs w:val="24"/>
      <w:lang w:eastAsia="pl-PL"/>
    </w:rPr>
  </w:style>
  <w:style w:type="paragraph" w:styleId="Xl75">
    <w:name w:val="xl75"/>
    <w:basedOn w:val="Normal"/>
    <w:qFormat/>
    <w:pPr>
      <w:pBdr>
        <w:top w:val="single" w:sz="4" w:space="0" w:color="000000"/>
        <w:left w:val="single" w:sz="4" w:space="0" w:color="000000"/>
        <w:bottom w:val="single" w:sz="4" w:space="0" w:color="000000"/>
        <w:right w:val="single" w:sz="4" w:space="0" w:color="000000"/>
      </w:pBdr>
      <w:shd w:val="clear" w:fill="FFFFCC"/>
      <w:spacing w:lineRule="auto" w:line="240" w:before="280" w:after="280"/>
      <w:jc w:val="center"/>
    </w:pPr>
    <w:rPr>
      <w:rFonts w:ascii="Times New Roman" w:hAnsi="Times New Roman" w:eastAsia="Times New Roman" w:cs="Times New Roman"/>
      <w:sz w:val="24"/>
      <w:szCs w:val="24"/>
      <w:lang w:eastAsia="pl-PL"/>
    </w:rPr>
  </w:style>
  <w:style w:type="paragraph" w:styleId="Xl76">
    <w:name w:val="xl76"/>
    <w:basedOn w:val="Normal"/>
    <w:qFormat/>
    <w:pPr>
      <w:pBdr>
        <w:top w:val="single" w:sz="4" w:space="0" w:color="000000"/>
        <w:left w:val="single" w:sz="4" w:space="0" w:color="000000"/>
        <w:bottom w:val="single" w:sz="4" w:space="0" w:color="000000"/>
        <w:right w:val="single" w:sz="4" w:space="0" w:color="000000"/>
      </w:pBdr>
      <w:shd w:val="clear" w:fill="FFFFCC"/>
      <w:spacing w:lineRule="auto" w:line="240" w:before="280" w:after="280"/>
      <w:jc w:val="center"/>
    </w:pPr>
    <w:rPr>
      <w:rFonts w:ascii="Times New Roman" w:hAnsi="Times New Roman" w:eastAsia="Times New Roman" w:cs="Times New Roman"/>
      <w:sz w:val="24"/>
      <w:szCs w:val="24"/>
      <w:lang w:eastAsia="pl-PL"/>
    </w:rPr>
  </w:style>
  <w:style w:type="paragraph" w:styleId="Xl77">
    <w:name w:val="xl77"/>
    <w:basedOn w:val="Normal"/>
    <w:qFormat/>
    <w:pPr>
      <w:pBdr>
        <w:top w:val="single" w:sz="4" w:space="0" w:color="000000"/>
        <w:left w:val="single" w:sz="4" w:space="0" w:color="000000"/>
        <w:bottom w:val="single" w:sz="4" w:space="0" w:color="000000"/>
        <w:right w:val="single" w:sz="4" w:space="0" w:color="000000"/>
      </w:pBdr>
      <w:shd w:val="clear" w:fill="FFFFCC"/>
      <w:spacing w:lineRule="auto" w:line="240" w:before="280" w:after="280"/>
      <w:jc w:val="center"/>
    </w:pPr>
    <w:rPr>
      <w:rFonts w:ascii="Times New Roman" w:hAnsi="Times New Roman" w:eastAsia="Times New Roman" w:cs="Times New Roman"/>
      <w:b/>
      <w:bCs/>
      <w:sz w:val="24"/>
      <w:szCs w:val="24"/>
      <w:lang w:eastAsia="pl-PL"/>
    </w:rPr>
  </w:style>
  <w:style w:type="paragraph" w:styleId="Xl78">
    <w:name w:val="xl78"/>
    <w:basedOn w:val="Normal"/>
    <w:qFormat/>
    <w:pPr>
      <w:pBdr>
        <w:top w:val="single" w:sz="4" w:space="0" w:color="000000"/>
        <w:left w:val="single" w:sz="4" w:space="0" w:color="000000"/>
        <w:bottom w:val="single" w:sz="4" w:space="0" w:color="000000"/>
        <w:right w:val="single" w:sz="4" w:space="0" w:color="000000"/>
      </w:pBdr>
      <w:shd w:val="clear" w:fill="FFFFCC"/>
      <w:spacing w:lineRule="auto" w:line="240" w:before="280" w:after="280"/>
      <w:jc w:val="center"/>
      <w:textAlignment w:val="center"/>
    </w:pPr>
    <w:rPr>
      <w:rFonts w:ascii="Times New Roman" w:hAnsi="Times New Roman" w:eastAsia="Times New Roman" w:cs="Times New Roman"/>
      <w:b/>
      <w:bCs/>
      <w:sz w:val="24"/>
      <w:szCs w:val="24"/>
      <w:lang w:eastAsia="pl-PL"/>
    </w:rPr>
  </w:style>
  <w:style w:type="paragraph" w:styleId="Xl79">
    <w:name w:val="xl79"/>
    <w:basedOn w:val="Normal"/>
    <w:qFormat/>
    <w:pPr>
      <w:pBdr>
        <w:top w:val="single" w:sz="4" w:space="0" w:color="000000"/>
        <w:left w:val="single" w:sz="4" w:space="0" w:color="000000"/>
        <w:bottom w:val="single" w:sz="4" w:space="0" w:color="000000"/>
        <w:right w:val="single" w:sz="4" w:space="0" w:color="000000"/>
      </w:pBdr>
      <w:shd w:val="clear" w:fill="FFFFCC"/>
      <w:spacing w:lineRule="auto" w:line="240" w:before="280" w:after="280"/>
      <w:jc w:val="center"/>
    </w:pPr>
    <w:rPr>
      <w:rFonts w:ascii="Times New Roman" w:hAnsi="Times New Roman" w:eastAsia="Times New Roman" w:cs="Times New Roman"/>
      <w:sz w:val="24"/>
      <w:szCs w:val="24"/>
      <w:lang w:eastAsia="pl-PL"/>
    </w:rPr>
  </w:style>
  <w:style w:type="paragraph" w:styleId="Xl80">
    <w:name w:val="xl80"/>
    <w:basedOn w:val="Normal"/>
    <w:qFormat/>
    <w:pPr>
      <w:pBdr>
        <w:top w:val="single" w:sz="4" w:space="0" w:color="000000"/>
        <w:left w:val="single" w:sz="4" w:space="0" w:color="000000"/>
        <w:bottom w:val="single" w:sz="4" w:space="0" w:color="000000"/>
        <w:right w:val="single" w:sz="4" w:space="0" w:color="000000"/>
      </w:pBdr>
      <w:shd w:val="clear" w:fill="FFFFCC"/>
      <w:spacing w:lineRule="auto" w:line="240" w:before="280" w:after="280"/>
      <w:jc w:val="center"/>
    </w:pPr>
    <w:rPr>
      <w:rFonts w:ascii="Times New Roman" w:hAnsi="Times New Roman" w:eastAsia="Times New Roman" w:cs="Times New Roman"/>
      <w:b/>
      <w:bCs/>
      <w:sz w:val="24"/>
      <w:szCs w:val="24"/>
      <w:lang w:eastAsia="pl-PL"/>
    </w:rPr>
  </w:style>
  <w:style w:type="paragraph" w:styleId="Xl81">
    <w:name w:val="xl81"/>
    <w:basedOn w:val="Normal"/>
    <w:qFormat/>
    <w:pPr>
      <w:pBdr>
        <w:top w:val="single" w:sz="4" w:space="0" w:color="000000"/>
        <w:left w:val="single" w:sz="4" w:space="0" w:color="000000"/>
        <w:bottom w:val="single" w:sz="4" w:space="0" w:color="000000"/>
        <w:right w:val="single" w:sz="4" w:space="0" w:color="000000"/>
      </w:pBdr>
      <w:shd w:val="clear" w:fill="FFFFCC"/>
      <w:spacing w:lineRule="auto" w:line="240" w:before="280" w:after="280"/>
      <w:jc w:val="center"/>
    </w:pPr>
    <w:rPr>
      <w:rFonts w:ascii="Times New Roman" w:hAnsi="Times New Roman" w:eastAsia="Times New Roman" w:cs="Times New Roman"/>
      <w:b/>
      <w:bCs/>
      <w:sz w:val="24"/>
      <w:szCs w:val="24"/>
      <w:lang w:eastAsia="pl-PL"/>
    </w:rPr>
  </w:style>
  <w:style w:type="paragraph" w:styleId="Xl82">
    <w:name w:val="xl82"/>
    <w:basedOn w:val="Normal"/>
    <w:qFormat/>
    <w:pPr>
      <w:pBdr>
        <w:top w:val="single" w:sz="4" w:space="0" w:color="000000"/>
        <w:left w:val="single" w:sz="4" w:space="0" w:color="000000"/>
        <w:bottom w:val="single" w:sz="4" w:space="0" w:color="000000"/>
        <w:right w:val="single" w:sz="4" w:space="0" w:color="000000"/>
      </w:pBdr>
      <w:shd w:val="clear" w:fill="FFCC99"/>
      <w:spacing w:lineRule="auto" w:line="240" w:before="280" w:after="280"/>
      <w:jc w:val="center"/>
    </w:pPr>
    <w:rPr>
      <w:rFonts w:ascii="Times New Roman" w:hAnsi="Times New Roman" w:eastAsia="Times New Roman" w:cs="Times New Roman"/>
      <w:sz w:val="24"/>
      <w:szCs w:val="24"/>
      <w:lang w:eastAsia="pl-PL"/>
    </w:rPr>
  </w:style>
  <w:style w:type="paragraph" w:styleId="Xl83">
    <w:name w:val="xl83"/>
    <w:basedOn w:val="Normal"/>
    <w:qFormat/>
    <w:pPr>
      <w:pBdr>
        <w:top w:val="single" w:sz="4" w:space="0" w:color="000000"/>
        <w:left w:val="single" w:sz="4" w:space="0" w:color="000000"/>
        <w:bottom w:val="single" w:sz="4" w:space="0" w:color="000000"/>
        <w:right w:val="single" w:sz="4" w:space="0" w:color="000000"/>
      </w:pBdr>
      <w:shd w:val="clear" w:fill="FFCC99"/>
      <w:spacing w:lineRule="auto" w:line="240" w:before="280" w:after="280"/>
      <w:jc w:val="center"/>
    </w:pPr>
    <w:rPr>
      <w:rFonts w:ascii="Times New Roman" w:hAnsi="Times New Roman" w:eastAsia="Times New Roman" w:cs="Times New Roman"/>
      <w:sz w:val="24"/>
      <w:szCs w:val="24"/>
      <w:lang w:eastAsia="pl-PL"/>
    </w:rPr>
  </w:style>
  <w:style w:type="paragraph" w:styleId="Xl84">
    <w:name w:val="xl84"/>
    <w:basedOn w:val="Normal"/>
    <w:qFormat/>
    <w:pPr>
      <w:pBdr>
        <w:top w:val="single" w:sz="4" w:space="0" w:color="000000"/>
        <w:left w:val="single" w:sz="4" w:space="0" w:color="000000"/>
        <w:bottom w:val="single" w:sz="4" w:space="0" w:color="000000"/>
        <w:right w:val="single" w:sz="4" w:space="0" w:color="000000"/>
      </w:pBdr>
      <w:shd w:val="clear" w:fill="FFCC99"/>
      <w:spacing w:lineRule="auto" w:line="240" w:before="280" w:after="280"/>
      <w:jc w:val="center"/>
    </w:pPr>
    <w:rPr>
      <w:rFonts w:ascii="Times New Roman" w:hAnsi="Times New Roman" w:eastAsia="Times New Roman" w:cs="Times New Roman"/>
      <w:b/>
      <w:bCs/>
      <w:sz w:val="24"/>
      <w:szCs w:val="24"/>
      <w:lang w:eastAsia="pl-PL"/>
    </w:rPr>
  </w:style>
  <w:style w:type="paragraph" w:styleId="Xl85">
    <w:name w:val="xl85"/>
    <w:basedOn w:val="Normal"/>
    <w:qFormat/>
    <w:pPr>
      <w:pBdr>
        <w:top w:val="single" w:sz="4" w:space="0" w:color="000000"/>
        <w:left w:val="single" w:sz="4" w:space="0" w:color="000000"/>
        <w:bottom w:val="single" w:sz="4" w:space="0" w:color="000000"/>
        <w:right w:val="single" w:sz="4" w:space="0" w:color="000000"/>
      </w:pBdr>
      <w:shd w:val="clear" w:fill="FFFFCC"/>
      <w:spacing w:lineRule="auto" w:line="240" w:before="280" w:after="280"/>
      <w:jc w:val="center"/>
      <w:textAlignment w:val="center"/>
    </w:pPr>
    <w:rPr>
      <w:rFonts w:ascii="Times New Roman" w:hAnsi="Times New Roman" w:eastAsia="Times New Roman" w:cs="Times New Roman"/>
      <w:b/>
      <w:bCs/>
      <w:sz w:val="24"/>
      <w:szCs w:val="24"/>
      <w:lang w:eastAsia="pl-PL"/>
    </w:rPr>
  </w:style>
  <w:style w:type="paragraph" w:styleId="Xl86">
    <w:name w:val="xl86"/>
    <w:basedOn w:val="Normal"/>
    <w:qFormat/>
    <w:pPr>
      <w:pBdr>
        <w:top w:val="single" w:sz="4" w:space="0" w:color="000000"/>
        <w:left w:val="single" w:sz="4" w:space="0" w:color="000000"/>
        <w:bottom w:val="single" w:sz="4" w:space="0" w:color="000000"/>
        <w:right w:val="single" w:sz="4" w:space="0" w:color="000000"/>
      </w:pBdr>
      <w:shd w:val="clear" w:fill="FFFFCC"/>
      <w:spacing w:lineRule="auto" w:line="240" w:before="280" w:after="280"/>
      <w:jc w:val="center"/>
    </w:pPr>
    <w:rPr>
      <w:rFonts w:ascii="Times New Roman" w:hAnsi="Times New Roman" w:eastAsia="Times New Roman" w:cs="Times New Roman"/>
      <w:sz w:val="24"/>
      <w:szCs w:val="24"/>
      <w:lang w:eastAsia="pl-PL"/>
    </w:rPr>
  </w:style>
  <w:style w:type="paragraph" w:styleId="Xl87">
    <w:name w:val="xl87"/>
    <w:basedOn w:val="Normal"/>
    <w:qFormat/>
    <w:pPr>
      <w:pBdr>
        <w:top w:val="single" w:sz="4" w:space="0" w:color="000000"/>
        <w:left w:val="single" w:sz="4" w:space="0" w:color="000000"/>
        <w:bottom w:val="single" w:sz="4" w:space="0" w:color="000000"/>
        <w:right w:val="single" w:sz="4" w:space="0" w:color="000000"/>
      </w:pBdr>
      <w:shd w:val="clear" w:fill="FFFFCC"/>
      <w:spacing w:lineRule="auto" w:line="240" w:before="280" w:after="280"/>
      <w:jc w:val="center"/>
      <w:textAlignment w:val="center"/>
    </w:pPr>
    <w:rPr>
      <w:rFonts w:ascii="Times New Roman" w:hAnsi="Times New Roman" w:eastAsia="Times New Roman" w:cs="Times New Roman"/>
      <w:sz w:val="24"/>
      <w:szCs w:val="24"/>
      <w:lang w:eastAsia="pl-PL"/>
    </w:rPr>
  </w:style>
  <w:style w:type="paragraph" w:styleId="Xl88">
    <w:name w:val="xl88"/>
    <w:basedOn w:val="Normal"/>
    <w:qFormat/>
    <w:pPr>
      <w:pBdr>
        <w:top w:val="single" w:sz="4" w:space="0" w:color="000000"/>
        <w:left w:val="single" w:sz="4" w:space="0" w:color="000000"/>
        <w:bottom w:val="single" w:sz="4" w:space="0" w:color="000000"/>
        <w:right w:val="single" w:sz="4" w:space="0" w:color="000000"/>
      </w:pBdr>
      <w:shd w:val="clear" w:fill="FFFFCC"/>
      <w:spacing w:lineRule="auto" w:line="240" w:before="280" w:after="280"/>
      <w:jc w:val="center"/>
      <w:textAlignment w:val="center"/>
    </w:pPr>
    <w:rPr>
      <w:rFonts w:ascii="Times New Roman" w:hAnsi="Times New Roman" w:eastAsia="Times New Roman" w:cs="Times New Roman"/>
      <w:sz w:val="24"/>
      <w:szCs w:val="24"/>
      <w:lang w:eastAsia="pl-PL"/>
    </w:rPr>
  </w:style>
  <w:style w:type="paragraph" w:styleId="Xl89">
    <w:name w:val="xl89"/>
    <w:basedOn w:val="Normal"/>
    <w:qFormat/>
    <w:pPr>
      <w:pBdr>
        <w:top w:val="single" w:sz="4" w:space="0" w:color="000000"/>
        <w:left w:val="single" w:sz="4" w:space="0" w:color="000000"/>
        <w:bottom w:val="single" w:sz="4" w:space="0" w:color="000000"/>
        <w:right w:val="single" w:sz="4" w:space="0" w:color="000000"/>
      </w:pBdr>
      <w:shd w:val="clear" w:fill="FFFFCC"/>
      <w:spacing w:lineRule="auto" w:line="240" w:before="280" w:after="280"/>
      <w:jc w:val="center"/>
      <w:textAlignment w:val="center"/>
    </w:pPr>
    <w:rPr>
      <w:rFonts w:ascii="Times New Roman" w:hAnsi="Times New Roman" w:eastAsia="Times New Roman" w:cs="Times New Roman"/>
      <w:b/>
      <w:bCs/>
      <w:sz w:val="24"/>
      <w:szCs w:val="24"/>
      <w:lang w:eastAsia="pl-PL"/>
    </w:rPr>
  </w:style>
  <w:style w:type="paragraph" w:styleId="Xl90">
    <w:name w:val="xl90"/>
    <w:basedOn w:val="Normal"/>
    <w:qFormat/>
    <w:pPr>
      <w:pBdr>
        <w:top w:val="single" w:sz="4" w:space="0" w:color="000000"/>
        <w:left w:val="single" w:sz="4" w:space="0" w:color="000000"/>
        <w:bottom w:val="single" w:sz="4" w:space="0" w:color="000000"/>
        <w:right w:val="single" w:sz="4" w:space="0" w:color="000000"/>
      </w:pBdr>
      <w:shd w:val="clear" w:fill="FFFFCC"/>
      <w:spacing w:lineRule="auto" w:line="240" w:before="280" w:after="280"/>
      <w:jc w:val="center"/>
      <w:textAlignment w:val="center"/>
    </w:pPr>
    <w:rPr>
      <w:rFonts w:ascii="Times New Roman" w:hAnsi="Times New Roman" w:eastAsia="Times New Roman" w:cs="Times New Roman"/>
      <w:b/>
      <w:bCs/>
      <w:sz w:val="24"/>
      <w:szCs w:val="24"/>
      <w:lang w:eastAsia="pl-PL"/>
    </w:rPr>
  </w:style>
  <w:style w:type="paragraph" w:styleId="Xl91">
    <w:name w:val="xl91"/>
    <w:basedOn w:val="Normal"/>
    <w:qFormat/>
    <w:pPr>
      <w:pBdr>
        <w:top w:val="single" w:sz="4" w:space="0" w:color="000000"/>
        <w:left w:val="single" w:sz="4" w:space="0" w:color="000000"/>
        <w:bottom w:val="single" w:sz="4" w:space="0" w:color="000000"/>
        <w:right w:val="single" w:sz="4" w:space="0" w:color="000000"/>
      </w:pBdr>
      <w:shd w:val="clear" w:fill="CCFFFF"/>
      <w:spacing w:lineRule="auto" w:line="240" w:before="280" w:after="280"/>
      <w:jc w:val="center"/>
    </w:pPr>
    <w:rPr>
      <w:rFonts w:ascii="Times New Roman" w:hAnsi="Times New Roman" w:eastAsia="Times New Roman" w:cs="Times New Roman"/>
      <w:sz w:val="24"/>
      <w:szCs w:val="24"/>
      <w:lang w:eastAsia="pl-PL"/>
    </w:rPr>
  </w:style>
  <w:style w:type="paragraph" w:styleId="Xl92">
    <w:name w:val="xl92"/>
    <w:basedOn w:val="Normal"/>
    <w:qFormat/>
    <w:pPr>
      <w:pBdr>
        <w:top w:val="single" w:sz="4" w:space="0" w:color="000000"/>
        <w:left w:val="single" w:sz="4" w:space="0" w:color="000000"/>
        <w:bottom w:val="single" w:sz="4" w:space="0" w:color="000000"/>
        <w:right w:val="single" w:sz="4" w:space="0" w:color="000000"/>
      </w:pBdr>
      <w:shd w:val="clear" w:fill="CCFFFF"/>
      <w:spacing w:lineRule="auto" w:line="240" w:before="280" w:after="280"/>
      <w:jc w:val="center"/>
    </w:pPr>
    <w:rPr>
      <w:rFonts w:ascii="Times New Roman" w:hAnsi="Times New Roman" w:eastAsia="Times New Roman" w:cs="Times New Roman"/>
      <w:sz w:val="24"/>
      <w:szCs w:val="24"/>
      <w:lang w:eastAsia="pl-PL"/>
    </w:rPr>
  </w:style>
  <w:style w:type="paragraph" w:styleId="Xl93">
    <w:name w:val="xl93"/>
    <w:basedOn w:val="Normal"/>
    <w:qFormat/>
    <w:pPr>
      <w:pBdr>
        <w:top w:val="single" w:sz="4" w:space="0" w:color="000000"/>
        <w:left w:val="single" w:sz="4" w:space="0" w:color="000000"/>
        <w:bottom w:val="single" w:sz="4" w:space="0" w:color="000000"/>
        <w:right w:val="single" w:sz="4" w:space="0" w:color="000000"/>
      </w:pBdr>
      <w:shd w:val="clear" w:fill="CCFFFF"/>
      <w:spacing w:lineRule="auto" w:line="240" w:before="280" w:after="280"/>
      <w:jc w:val="center"/>
    </w:pPr>
    <w:rPr>
      <w:rFonts w:ascii="Times New Roman" w:hAnsi="Times New Roman" w:eastAsia="Times New Roman" w:cs="Times New Roman"/>
      <w:b/>
      <w:bCs/>
      <w:sz w:val="24"/>
      <w:szCs w:val="24"/>
      <w:lang w:eastAsia="pl-PL"/>
    </w:rPr>
  </w:style>
  <w:style w:type="paragraph" w:styleId="Xl94">
    <w:name w:val="xl94"/>
    <w:basedOn w:val="Normal"/>
    <w:qFormat/>
    <w:pPr>
      <w:pBdr>
        <w:top w:val="single" w:sz="4" w:space="0" w:color="000000"/>
        <w:left w:val="single" w:sz="4" w:space="0" w:color="000000"/>
        <w:bottom w:val="single" w:sz="4" w:space="0" w:color="000000"/>
        <w:right w:val="single" w:sz="4" w:space="0" w:color="000000"/>
      </w:pBdr>
      <w:shd w:val="clear" w:fill="CCFFFF"/>
      <w:spacing w:lineRule="auto" w:line="240" w:before="280" w:after="280"/>
      <w:jc w:val="center"/>
      <w:textAlignment w:val="center"/>
    </w:pPr>
    <w:rPr>
      <w:rFonts w:ascii="Times New Roman" w:hAnsi="Times New Roman" w:eastAsia="Times New Roman" w:cs="Times New Roman"/>
      <w:b/>
      <w:bCs/>
      <w:sz w:val="24"/>
      <w:szCs w:val="24"/>
      <w:lang w:eastAsia="pl-PL"/>
    </w:rPr>
  </w:style>
  <w:style w:type="paragraph" w:styleId="Xl95">
    <w:name w:val="xl95"/>
    <w:basedOn w:val="Normal"/>
    <w:qFormat/>
    <w:pPr>
      <w:pBdr>
        <w:top w:val="single" w:sz="4" w:space="0" w:color="000000"/>
        <w:left w:val="single" w:sz="4" w:space="0" w:color="000000"/>
        <w:bottom w:val="single" w:sz="4" w:space="0" w:color="000000"/>
        <w:right w:val="single" w:sz="4" w:space="0" w:color="000000"/>
      </w:pBdr>
      <w:shd w:val="clear" w:fill="CCFFFF"/>
      <w:spacing w:lineRule="auto" w:line="240" w:before="280" w:after="280"/>
      <w:jc w:val="center"/>
    </w:pPr>
    <w:rPr>
      <w:rFonts w:ascii="Times New Roman" w:hAnsi="Times New Roman" w:eastAsia="Times New Roman" w:cs="Times New Roman"/>
      <w:sz w:val="24"/>
      <w:szCs w:val="24"/>
      <w:lang w:eastAsia="pl-PL"/>
    </w:rPr>
  </w:style>
  <w:style w:type="paragraph" w:styleId="Xl96">
    <w:name w:val="xl96"/>
    <w:basedOn w:val="Normal"/>
    <w:qFormat/>
    <w:pPr>
      <w:pBdr>
        <w:top w:val="single" w:sz="4" w:space="0" w:color="000000"/>
        <w:left w:val="single" w:sz="4" w:space="0" w:color="000000"/>
        <w:bottom w:val="single" w:sz="4" w:space="0" w:color="000000"/>
        <w:right w:val="single" w:sz="4" w:space="0" w:color="000000"/>
      </w:pBdr>
      <w:shd w:val="clear" w:fill="CCFFFF"/>
      <w:spacing w:lineRule="auto" w:line="240" w:before="280" w:after="280"/>
      <w:jc w:val="center"/>
    </w:pPr>
    <w:rPr>
      <w:rFonts w:ascii="Times New Roman" w:hAnsi="Times New Roman" w:eastAsia="Times New Roman" w:cs="Times New Roman"/>
      <w:b/>
      <w:bCs/>
      <w:sz w:val="24"/>
      <w:szCs w:val="24"/>
      <w:lang w:eastAsia="pl-PL"/>
    </w:rPr>
  </w:style>
  <w:style w:type="paragraph" w:styleId="Xl97">
    <w:name w:val="xl97"/>
    <w:basedOn w:val="Normal"/>
    <w:qFormat/>
    <w:pPr>
      <w:pBdr>
        <w:top w:val="single" w:sz="4" w:space="0" w:color="000000"/>
        <w:left w:val="single" w:sz="4" w:space="0" w:color="000000"/>
        <w:bottom w:val="single" w:sz="4" w:space="0" w:color="000000"/>
        <w:right w:val="single" w:sz="4" w:space="0" w:color="000000"/>
      </w:pBdr>
      <w:shd w:val="clear" w:fill="9BC2E6"/>
      <w:spacing w:lineRule="auto" w:line="240" w:before="280" w:after="280"/>
      <w:jc w:val="center"/>
      <w:textAlignment w:val="center"/>
    </w:pPr>
    <w:rPr>
      <w:rFonts w:ascii="Times New Roman" w:hAnsi="Times New Roman" w:eastAsia="Times New Roman" w:cs="Times New Roman"/>
      <w:sz w:val="24"/>
      <w:szCs w:val="24"/>
      <w:lang w:eastAsia="pl-PL"/>
    </w:rPr>
  </w:style>
  <w:style w:type="paragraph" w:styleId="Xl98">
    <w:name w:val="xl98"/>
    <w:basedOn w:val="Normal"/>
    <w:qFormat/>
    <w:pPr>
      <w:pBdr>
        <w:top w:val="single" w:sz="4" w:space="0" w:color="000000"/>
        <w:left w:val="single" w:sz="4" w:space="0" w:color="000000"/>
        <w:bottom w:val="single" w:sz="4" w:space="0" w:color="000000"/>
        <w:right w:val="single" w:sz="4" w:space="0" w:color="000000"/>
      </w:pBdr>
      <w:shd w:val="clear" w:fill="9BC2E6"/>
      <w:spacing w:lineRule="auto" w:line="240" w:before="280" w:after="280"/>
      <w:jc w:val="center"/>
      <w:textAlignment w:val="center"/>
    </w:pPr>
    <w:rPr>
      <w:rFonts w:ascii="Times New Roman" w:hAnsi="Times New Roman" w:eastAsia="Times New Roman" w:cs="Times New Roman"/>
      <w:sz w:val="24"/>
      <w:szCs w:val="24"/>
      <w:lang w:eastAsia="pl-PL"/>
    </w:rPr>
  </w:style>
  <w:style w:type="paragraph" w:styleId="Xl99">
    <w:name w:val="xl99"/>
    <w:basedOn w:val="Normal"/>
    <w:qFormat/>
    <w:pPr>
      <w:pBdr>
        <w:top w:val="single" w:sz="4" w:space="0" w:color="000000"/>
        <w:left w:val="single" w:sz="4" w:space="0" w:color="000000"/>
        <w:bottom w:val="single" w:sz="4" w:space="0" w:color="000000"/>
        <w:right w:val="single" w:sz="4" w:space="0" w:color="000000"/>
      </w:pBdr>
      <w:shd w:val="clear" w:fill="9BC2E6"/>
      <w:spacing w:lineRule="auto" w:line="240" w:before="280" w:after="280"/>
      <w:jc w:val="center"/>
      <w:textAlignment w:val="center"/>
    </w:pPr>
    <w:rPr>
      <w:rFonts w:ascii="Times New Roman" w:hAnsi="Times New Roman" w:eastAsia="Times New Roman" w:cs="Times New Roman"/>
      <w:b/>
      <w:bCs/>
      <w:sz w:val="24"/>
      <w:szCs w:val="24"/>
      <w:lang w:eastAsia="pl-PL"/>
    </w:rPr>
  </w:style>
  <w:style w:type="paragraph" w:styleId="Xl100">
    <w:name w:val="xl100"/>
    <w:basedOn w:val="Normal"/>
    <w:qFormat/>
    <w:pPr>
      <w:pBdr>
        <w:top w:val="single" w:sz="4" w:space="0" w:color="000000"/>
        <w:left w:val="single" w:sz="4" w:space="0" w:color="000000"/>
        <w:bottom w:val="single" w:sz="4" w:space="0" w:color="000000"/>
        <w:right w:val="single" w:sz="4" w:space="0" w:color="000000"/>
      </w:pBdr>
      <w:shd w:val="clear" w:fill="9BC2E6"/>
      <w:spacing w:lineRule="auto" w:line="240" w:before="280" w:after="280"/>
      <w:jc w:val="left"/>
      <w:textAlignment w:val="center"/>
    </w:pPr>
    <w:rPr>
      <w:rFonts w:ascii="Times New Roman" w:hAnsi="Times New Roman" w:eastAsia="Times New Roman" w:cs="Times New Roman"/>
      <w:sz w:val="24"/>
      <w:szCs w:val="24"/>
      <w:lang w:eastAsia="pl-PL"/>
    </w:rPr>
  </w:style>
  <w:style w:type="paragraph" w:styleId="Xl101">
    <w:name w:val="xl101"/>
    <w:basedOn w:val="Normal"/>
    <w:qFormat/>
    <w:pPr>
      <w:pBdr>
        <w:top w:val="single" w:sz="4" w:space="0" w:color="000000"/>
        <w:left w:val="single" w:sz="4" w:space="0" w:color="000000"/>
        <w:bottom w:val="single" w:sz="4" w:space="0" w:color="000000"/>
        <w:right w:val="single" w:sz="4" w:space="0" w:color="000000"/>
      </w:pBdr>
      <w:shd w:val="clear" w:fill="CCFFFF"/>
      <w:spacing w:lineRule="auto" w:line="240" w:before="280" w:after="280"/>
      <w:jc w:val="center"/>
      <w:textAlignment w:val="center"/>
    </w:pPr>
    <w:rPr>
      <w:rFonts w:ascii="Times New Roman" w:hAnsi="Times New Roman" w:eastAsia="Times New Roman" w:cs="Times New Roman"/>
      <w:sz w:val="24"/>
      <w:szCs w:val="24"/>
      <w:lang w:eastAsia="pl-PL"/>
    </w:rPr>
  </w:style>
  <w:style w:type="paragraph" w:styleId="Xl102">
    <w:name w:val="xl102"/>
    <w:basedOn w:val="Normal"/>
    <w:qFormat/>
    <w:pPr>
      <w:pBdr>
        <w:top w:val="single" w:sz="4" w:space="0" w:color="000000"/>
        <w:left w:val="single" w:sz="4" w:space="0" w:color="000000"/>
        <w:bottom w:val="single" w:sz="4" w:space="0" w:color="000000"/>
        <w:right w:val="single" w:sz="4" w:space="0" w:color="000000"/>
      </w:pBdr>
      <w:shd w:val="clear" w:fill="CCFFFF"/>
      <w:spacing w:lineRule="auto" w:line="240" w:before="280" w:after="280"/>
      <w:jc w:val="center"/>
      <w:textAlignment w:val="center"/>
    </w:pPr>
    <w:rPr>
      <w:rFonts w:ascii="Times New Roman" w:hAnsi="Times New Roman" w:eastAsia="Times New Roman" w:cs="Times New Roman"/>
      <w:sz w:val="24"/>
      <w:szCs w:val="24"/>
      <w:lang w:eastAsia="pl-PL"/>
    </w:rPr>
  </w:style>
  <w:style w:type="paragraph" w:styleId="Xl103">
    <w:name w:val="xl103"/>
    <w:basedOn w:val="Normal"/>
    <w:qFormat/>
    <w:pPr>
      <w:pBdr>
        <w:top w:val="single" w:sz="4" w:space="0" w:color="000000"/>
        <w:left w:val="single" w:sz="4" w:space="0" w:color="000000"/>
        <w:bottom w:val="single" w:sz="4" w:space="0" w:color="000000"/>
        <w:right w:val="single" w:sz="4" w:space="0" w:color="000000"/>
      </w:pBdr>
      <w:shd w:val="clear" w:fill="CCFFFF"/>
      <w:spacing w:lineRule="auto" w:line="240" w:before="280" w:after="280"/>
      <w:jc w:val="center"/>
    </w:pPr>
    <w:rPr>
      <w:rFonts w:ascii="Times New Roman" w:hAnsi="Times New Roman" w:eastAsia="Times New Roman" w:cs="Times New Roman"/>
      <w:b/>
      <w:bCs/>
      <w:sz w:val="24"/>
      <w:szCs w:val="24"/>
      <w:lang w:eastAsia="pl-PL"/>
    </w:rPr>
  </w:style>
  <w:style w:type="paragraph" w:styleId="Xl104">
    <w:name w:val="xl104"/>
    <w:basedOn w:val="Normal"/>
    <w:qFormat/>
    <w:pPr>
      <w:pBdr>
        <w:top w:val="single" w:sz="4" w:space="0" w:color="000000"/>
        <w:left w:val="single" w:sz="4" w:space="0" w:color="000000"/>
        <w:bottom w:val="single" w:sz="4" w:space="0" w:color="000000"/>
        <w:right w:val="single" w:sz="4" w:space="0" w:color="000000"/>
      </w:pBdr>
      <w:shd w:val="clear" w:fill="CCFF99"/>
      <w:spacing w:lineRule="auto" w:line="240" w:before="280" w:after="280"/>
      <w:jc w:val="center"/>
      <w:textAlignment w:val="center"/>
    </w:pPr>
    <w:rPr>
      <w:rFonts w:ascii="Times New Roman" w:hAnsi="Times New Roman" w:eastAsia="Times New Roman" w:cs="Times New Roman"/>
      <w:sz w:val="24"/>
      <w:szCs w:val="24"/>
      <w:lang w:eastAsia="pl-PL"/>
    </w:rPr>
  </w:style>
  <w:style w:type="paragraph" w:styleId="Xl105">
    <w:name w:val="xl105"/>
    <w:basedOn w:val="Normal"/>
    <w:qFormat/>
    <w:pPr>
      <w:pBdr>
        <w:top w:val="single" w:sz="4" w:space="0" w:color="000000"/>
        <w:left w:val="single" w:sz="4" w:space="0" w:color="000000"/>
        <w:bottom w:val="single" w:sz="4" w:space="0" w:color="000000"/>
        <w:right w:val="single" w:sz="4" w:space="0" w:color="000000"/>
      </w:pBdr>
      <w:shd w:val="clear" w:fill="CCFF99"/>
      <w:spacing w:lineRule="auto" w:line="240" w:before="280" w:after="280"/>
      <w:jc w:val="center"/>
    </w:pPr>
    <w:rPr>
      <w:rFonts w:ascii="Times New Roman" w:hAnsi="Times New Roman" w:eastAsia="Times New Roman" w:cs="Times New Roman"/>
      <w:sz w:val="24"/>
      <w:szCs w:val="24"/>
      <w:lang w:eastAsia="pl-PL"/>
    </w:rPr>
  </w:style>
  <w:style w:type="paragraph" w:styleId="Xl106">
    <w:name w:val="xl106"/>
    <w:basedOn w:val="Normal"/>
    <w:qFormat/>
    <w:pPr>
      <w:pBdr>
        <w:top w:val="single" w:sz="4" w:space="0" w:color="000000"/>
        <w:left w:val="single" w:sz="4" w:space="0" w:color="000000"/>
        <w:bottom w:val="single" w:sz="4" w:space="0" w:color="000000"/>
        <w:right w:val="single" w:sz="4" w:space="0" w:color="000000"/>
      </w:pBdr>
      <w:shd w:val="clear" w:fill="CCFF99"/>
      <w:spacing w:lineRule="auto" w:line="240" w:before="280" w:after="280"/>
      <w:jc w:val="center"/>
    </w:pPr>
    <w:rPr>
      <w:rFonts w:ascii="Times New Roman" w:hAnsi="Times New Roman" w:eastAsia="Times New Roman" w:cs="Times New Roman"/>
      <w:sz w:val="24"/>
      <w:szCs w:val="24"/>
      <w:lang w:eastAsia="pl-PL"/>
    </w:rPr>
  </w:style>
  <w:style w:type="paragraph" w:styleId="Xl107">
    <w:name w:val="xl107"/>
    <w:basedOn w:val="Normal"/>
    <w:qFormat/>
    <w:pPr>
      <w:pBdr>
        <w:top w:val="single" w:sz="4" w:space="0" w:color="000000"/>
        <w:left w:val="single" w:sz="4" w:space="0" w:color="000000"/>
        <w:bottom w:val="single" w:sz="4" w:space="0" w:color="000000"/>
        <w:right w:val="single" w:sz="4" w:space="0" w:color="000000"/>
      </w:pBdr>
      <w:shd w:val="clear" w:fill="CCFF99"/>
      <w:spacing w:lineRule="auto" w:line="240" w:before="280" w:after="280"/>
      <w:jc w:val="center"/>
    </w:pPr>
    <w:rPr>
      <w:rFonts w:ascii="Times New Roman" w:hAnsi="Times New Roman" w:eastAsia="Times New Roman" w:cs="Times New Roman"/>
      <w:b/>
      <w:bCs/>
      <w:sz w:val="24"/>
      <w:szCs w:val="24"/>
      <w:lang w:eastAsia="pl-PL"/>
    </w:rPr>
  </w:style>
  <w:style w:type="paragraph" w:styleId="Xl108">
    <w:name w:val="xl108"/>
    <w:basedOn w:val="Normal"/>
    <w:qFormat/>
    <w:pPr>
      <w:pBdr>
        <w:top w:val="single" w:sz="4" w:space="0" w:color="000000"/>
        <w:left w:val="single" w:sz="4" w:space="0" w:color="000000"/>
        <w:bottom w:val="single" w:sz="4" w:space="0" w:color="000000"/>
        <w:right w:val="single" w:sz="4" w:space="0" w:color="000000"/>
      </w:pBdr>
      <w:shd w:val="clear" w:fill="CCFF99"/>
      <w:spacing w:lineRule="auto" w:line="240" w:before="280" w:after="280"/>
      <w:jc w:val="center"/>
    </w:pPr>
    <w:rPr>
      <w:rFonts w:ascii="Times New Roman" w:hAnsi="Times New Roman" w:eastAsia="Times New Roman" w:cs="Times New Roman"/>
      <w:sz w:val="24"/>
      <w:szCs w:val="24"/>
      <w:lang w:eastAsia="pl-PL"/>
    </w:rPr>
  </w:style>
  <w:style w:type="paragraph" w:styleId="Xl109">
    <w:name w:val="xl109"/>
    <w:basedOn w:val="Normal"/>
    <w:qFormat/>
    <w:pPr>
      <w:pBdr>
        <w:top w:val="single" w:sz="4" w:space="0" w:color="000000"/>
        <w:left w:val="single" w:sz="4" w:space="0" w:color="000000"/>
        <w:bottom w:val="single" w:sz="4" w:space="0" w:color="000000"/>
        <w:right w:val="single" w:sz="4" w:space="0" w:color="000000"/>
      </w:pBdr>
      <w:shd w:val="clear" w:fill="CCFF99"/>
      <w:spacing w:lineRule="auto" w:line="240" w:before="280" w:after="280"/>
      <w:jc w:val="center"/>
    </w:pPr>
    <w:rPr>
      <w:rFonts w:ascii="Times New Roman" w:hAnsi="Times New Roman" w:eastAsia="Times New Roman" w:cs="Times New Roman"/>
      <w:b/>
      <w:bCs/>
      <w:sz w:val="24"/>
      <w:szCs w:val="24"/>
      <w:lang w:eastAsia="pl-PL"/>
    </w:rPr>
  </w:style>
  <w:style w:type="paragraph" w:styleId="Xl110">
    <w:name w:val="xl110"/>
    <w:basedOn w:val="Normal"/>
    <w:qFormat/>
    <w:pPr>
      <w:pBdr>
        <w:top w:val="single" w:sz="4" w:space="0" w:color="000000"/>
        <w:left w:val="single" w:sz="4" w:space="0" w:color="000000"/>
        <w:bottom w:val="single" w:sz="4" w:space="0" w:color="000000"/>
        <w:right w:val="single" w:sz="4" w:space="0" w:color="000000"/>
      </w:pBdr>
      <w:shd w:val="clear" w:fill="CCFF99"/>
      <w:spacing w:lineRule="auto" w:line="240" w:before="280" w:after="280"/>
      <w:jc w:val="center"/>
      <w:textAlignment w:val="center"/>
    </w:pPr>
    <w:rPr>
      <w:rFonts w:ascii="Times New Roman" w:hAnsi="Times New Roman" w:eastAsia="Times New Roman" w:cs="Times New Roman"/>
      <w:sz w:val="24"/>
      <w:szCs w:val="24"/>
      <w:lang w:eastAsia="pl-PL"/>
    </w:rPr>
  </w:style>
  <w:style w:type="paragraph" w:styleId="Xl111">
    <w:name w:val="xl111"/>
    <w:basedOn w:val="Normal"/>
    <w:qFormat/>
    <w:pPr>
      <w:pBdr>
        <w:top w:val="single" w:sz="4" w:space="0" w:color="000000"/>
        <w:left w:val="single" w:sz="4" w:space="0" w:color="000000"/>
        <w:bottom w:val="single" w:sz="4" w:space="0" w:color="000000"/>
        <w:right w:val="single" w:sz="4" w:space="0" w:color="000000"/>
      </w:pBdr>
      <w:shd w:val="clear" w:fill="CCFF99"/>
      <w:spacing w:lineRule="auto" w:line="240" w:before="280" w:after="280"/>
      <w:jc w:val="center"/>
      <w:textAlignment w:val="center"/>
    </w:pPr>
    <w:rPr>
      <w:rFonts w:ascii="Times New Roman" w:hAnsi="Times New Roman" w:eastAsia="Times New Roman" w:cs="Times New Roman"/>
      <w:sz w:val="24"/>
      <w:szCs w:val="24"/>
      <w:lang w:eastAsia="pl-PL"/>
    </w:rPr>
  </w:style>
  <w:style w:type="paragraph" w:styleId="Xl112">
    <w:name w:val="xl112"/>
    <w:basedOn w:val="Normal"/>
    <w:qFormat/>
    <w:pPr>
      <w:pBdr>
        <w:top w:val="single" w:sz="4" w:space="0" w:color="000000"/>
        <w:left w:val="single" w:sz="4" w:space="0" w:color="000000"/>
        <w:bottom w:val="single" w:sz="4" w:space="0" w:color="000000"/>
        <w:right w:val="single" w:sz="4" w:space="0" w:color="000000"/>
      </w:pBdr>
      <w:shd w:val="clear" w:fill="CCFF99"/>
      <w:spacing w:lineRule="auto" w:line="240" w:before="280" w:after="280"/>
      <w:jc w:val="center"/>
      <w:textAlignment w:val="center"/>
    </w:pPr>
    <w:rPr>
      <w:rFonts w:ascii="Times New Roman" w:hAnsi="Times New Roman" w:eastAsia="Times New Roman" w:cs="Times New Roman"/>
      <w:b/>
      <w:bCs/>
      <w:sz w:val="24"/>
      <w:szCs w:val="24"/>
      <w:lang w:eastAsia="pl-PL"/>
    </w:rPr>
  </w:style>
  <w:style w:type="paragraph" w:styleId="Xl113">
    <w:name w:val="xl113"/>
    <w:basedOn w:val="Normal"/>
    <w:qFormat/>
    <w:pPr>
      <w:spacing w:lineRule="auto" w:line="240" w:before="280" w:after="280"/>
      <w:jc w:val="center"/>
    </w:pPr>
    <w:rPr>
      <w:rFonts w:ascii="Times New Roman" w:hAnsi="Times New Roman" w:eastAsia="Times New Roman" w:cs="Times New Roman"/>
      <w:sz w:val="24"/>
      <w:szCs w:val="24"/>
      <w:lang w:eastAsia="pl-PL"/>
    </w:rPr>
  </w:style>
  <w:style w:type="paragraph" w:styleId="Xl114">
    <w:name w:val="xl114"/>
    <w:basedOn w:val="Normal"/>
    <w:qFormat/>
    <w:pPr>
      <w:spacing w:lineRule="auto" w:line="240" w:before="280" w:after="280"/>
      <w:jc w:val="center"/>
    </w:pPr>
    <w:rPr>
      <w:rFonts w:ascii="Times New Roman" w:hAnsi="Times New Roman" w:eastAsia="Times New Roman" w:cs="Times New Roman"/>
      <w:sz w:val="24"/>
      <w:szCs w:val="24"/>
      <w:lang w:eastAsia="pl-PL"/>
    </w:rPr>
  </w:style>
  <w:style w:type="paragraph" w:styleId="Xl115">
    <w:name w:val="xl115"/>
    <w:basedOn w:val="Normal"/>
    <w:qFormat/>
    <w:pPr>
      <w:spacing w:lineRule="auto" w:line="240" w:before="280" w:after="280"/>
      <w:jc w:val="center"/>
    </w:pPr>
    <w:rPr>
      <w:rFonts w:ascii="Times New Roman" w:hAnsi="Times New Roman" w:eastAsia="Times New Roman" w:cs="Times New Roman"/>
      <w:sz w:val="24"/>
      <w:szCs w:val="24"/>
      <w:lang w:eastAsia="pl-PL"/>
    </w:rPr>
  </w:style>
  <w:style w:type="paragraph" w:styleId="Xl116">
    <w:name w:val="xl116"/>
    <w:basedOn w:val="Normal"/>
    <w:qFormat/>
    <w:pPr>
      <w:spacing w:lineRule="auto" w:line="240" w:before="280" w:after="280"/>
      <w:jc w:val="center"/>
    </w:pPr>
    <w:rPr>
      <w:rFonts w:ascii="Times New Roman" w:hAnsi="Times New Roman" w:eastAsia="Times New Roman" w:cs="Times New Roman"/>
      <w:b/>
      <w:bCs/>
      <w:sz w:val="24"/>
      <w:szCs w:val="24"/>
      <w:lang w:eastAsia="pl-PL"/>
    </w:rPr>
  </w:style>
  <w:style w:type="paragraph" w:styleId="Xl117">
    <w:name w:val="xl117"/>
    <w:basedOn w:val="Normal"/>
    <w:qFormat/>
    <w:pPr>
      <w:spacing w:lineRule="auto" w:line="240" w:before="280" w:after="280"/>
      <w:jc w:val="center"/>
    </w:pPr>
    <w:rPr>
      <w:rFonts w:ascii="Times New Roman" w:hAnsi="Times New Roman" w:eastAsia="Times New Roman" w:cs="Times New Roman"/>
      <w:b/>
      <w:bCs/>
      <w:sz w:val="24"/>
      <w:szCs w:val="24"/>
      <w:lang w:eastAsia="pl-PL"/>
    </w:rPr>
  </w:style>
  <w:style w:type="paragraph" w:styleId="Xl118">
    <w:name w:val="xl118"/>
    <w:basedOn w:val="Normal"/>
    <w:qFormat/>
    <w:pPr>
      <w:pBdr>
        <w:top w:val="single" w:sz="4" w:space="0" w:color="000000"/>
        <w:left w:val="single" w:sz="4" w:space="0" w:color="000000"/>
        <w:bottom w:val="single" w:sz="4" w:space="0" w:color="000000"/>
        <w:right w:val="single" w:sz="4" w:space="0" w:color="000000"/>
      </w:pBdr>
      <w:shd w:val="clear" w:fill="7DC595"/>
      <w:spacing w:lineRule="auto" w:line="240" w:before="280" w:after="280"/>
      <w:jc w:val="center"/>
      <w:textAlignment w:val="center"/>
    </w:pPr>
    <w:rPr>
      <w:rFonts w:ascii="Times New Roman" w:hAnsi="Times New Roman" w:eastAsia="Times New Roman" w:cs="Times New Roman"/>
      <w:b/>
      <w:bCs/>
      <w:sz w:val="24"/>
      <w:szCs w:val="24"/>
      <w:lang w:eastAsia="pl-PL"/>
    </w:rPr>
  </w:style>
  <w:style w:type="paragraph" w:styleId="Xl119">
    <w:name w:val="xl119"/>
    <w:basedOn w:val="Normal"/>
    <w:qFormat/>
    <w:pPr>
      <w:pBdr>
        <w:top w:val="single" w:sz="4" w:space="0" w:color="000000"/>
        <w:left w:val="single" w:sz="4" w:space="0" w:color="000000"/>
        <w:bottom w:val="single" w:sz="4" w:space="0" w:color="000000"/>
        <w:right w:val="single" w:sz="4" w:space="0" w:color="000000"/>
      </w:pBdr>
      <w:shd w:val="clear" w:fill="CCFF99"/>
      <w:spacing w:lineRule="auto" w:line="240" w:before="280" w:after="280"/>
      <w:jc w:val="center"/>
      <w:textAlignment w:val="center"/>
    </w:pPr>
    <w:rPr>
      <w:rFonts w:ascii="Times New Roman" w:hAnsi="Times New Roman" w:eastAsia="Times New Roman" w:cs="Times New Roman"/>
      <w:b/>
      <w:bCs/>
      <w:sz w:val="24"/>
      <w:szCs w:val="24"/>
      <w:lang w:eastAsia="pl-PL"/>
    </w:rPr>
  </w:style>
  <w:style w:type="paragraph" w:styleId="Xl120">
    <w:name w:val="xl120"/>
    <w:basedOn w:val="Normal"/>
    <w:qFormat/>
    <w:pPr>
      <w:pBdr>
        <w:top w:val="single" w:sz="4" w:space="0" w:color="000000"/>
        <w:left w:val="single" w:sz="4" w:space="0" w:color="000000"/>
        <w:bottom w:val="single" w:sz="4" w:space="0" w:color="000000"/>
        <w:right w:val="single" w:sz="4" w:space="0" w:color="000000"/>
      </w:pBdr>
      <w:shd w:val="clear" w:fill="53AB68"/>
      <w:spacing w:lineRule="auto" w:line="240" w:before="280" w:after="280"/>
      <w:jc w:val="center"/>
      <w:textAlignment w:val="center"/>
    </w:pPr>
    <w:rPr>
      <w:rFonts w:ascii="Times New Roman" w:hAnsi="Times New Roman" w:eastAsia="Times New Roman" w:cs="Times New Roman"/>
      <w:b/>
      <w:bCs/>
      <w:sz w:val="24"/>
      <w:szCs w:val="24"/>
      <w:lang w:eastAsia="pl-PL"/>
    </w:rPr>
  </w:style>
  <w:style w:type="paragraph" w:styleId="Xl121">
    <w:name w:val="xl121"/>
    <w:basedOn w:val="Normal"/>
    <w:qFormat/>
    <w:pPr>
      <w:pBdr>
        <w:top w:val="single" w:sz="4" w:space="0" w:color="000000"/>
        <w:left w:val="single" w:sz="4" w:space="0" w:color="000000"/>
        <w:bottom w:val="single" w:sz="4" w:space="0" w:color="000000"/>
        <w:right w:val="single" w:sz="4" w:space="0" w:color="000000"/>
      </w:pBdr>
      <w:shd w:val="clear" w:fill="7DC595"/>
      <w:spacing w:lineRule="auto" w:line="240" w:before="280" w:after="280"/>
      <w:jc w:val="center"/>
    </w:pPr>
    <w:rPr>
      <w:rFonts w:ascii="Times New Roman" w:hAnsi="Times New Roman" w:eastAsia="Times New Roman" w:cs="Times New Roman"/>
      <w:b/>
      <w:bCs/>
      <w:sz w:val="24"/>
      <w:szCs w:val="24"/>
      <w:lang w:eastAsia="pl-PL"/>
    </w:rPr>
  </w:style>
  <w:style w:type="paragraph" w:styleId="Xl122">
    <w:name w:val="xl122"/>
    <w:basedOn w:val="Normal"/>
    <w:qFormat/>
    <w:pPr>
      <w:pBdr>
        <w:top w:val="single" w:sz="4" w:space="0" w:color="000000"/>
        <w:left w:val="single" w:sz="4" w:space="0" w:color="000000"/>
        <w:bottom w:val="single" w:sz="4" w:space="0" w:color="000000"/>
        <w:right w:val="single" w:sz="4" w:space="0" w:color="000000"/>
      </w:pBdr>
      <w:shd w:val="clear" w:fill="CCFFFF"/>
      <w:spacing w:lineRule="auto" w:line="240" w:before="280" w:after="280"/>
      <w:jc w:val="center"/>
      <w:textAlignment w:val="center"/>
    </w:pPr>
    <w:rPr>
      <w:rFonts w:ascii="Times New Roman" w:hAnsi="Times New Roman" w:eastAsia="Times New Roman" w:cs="Times New Roman"/>
      <w:sz w:val="24"/>
      <w:szCs w:val="24"/>
      <w:lang w:eastAsia="pl-PL"/>
    </w:rPr>
  </w:style>
  <w:style w:type="paragraph" w:styleId="Xl123">
    <w:name w:val="xl123"/>
    <w:basedOn w:val="Normal"/>
    <w:qFormat/>
    <w:pPr>
      <w:pBdr>
        <w:top w:val="single" w:sz="4" w:space="0" w:color="000000"/>
        <w:left w:val="single" w:sz="4" w:space="0" w:color="000000"/>
        <w:bottom w:val="single" w:sz="4" w:space="0" w:color="000000"/>
        <w:right w:val="single" w:sz="4" w:space="0" w:color="000000"/>
      </w:pBdr>
      <w:shd w:val="clear" w:fill="9BC2E6"/>
      <w:spacing w:lineRule="auto" w:line="240" w:before="280" w:after="280"/>
      <w:jc w:val="center"/>
      <w:textAlignment w:val="center"/>
    </w:pPr>
    <w:rPr>
      <w:rFonts w:ascii="Times New Roman" w:hAnsi="Times New Roman" w:eastAsia="Times New Roman" w:cs="Times New Roman"/>
      <w:sz w:val="24"/>
      <w:szCs w:val="24"/>
      <w:lang w:eastAsia="pl-PL"/>
    </w:rPr>
  </w:style>
  <w:style w:type="paragraph" w:styleId="Xl124">
    <w:name w:val="xl124"/>
    <w:basedOn w:val="Normal"/>
    <w:qFormat/>
    <w:pPr>
      <w:pBdr>
        <w:top w:val="single" w:sz="4" w:space="0" w:color="000000"/>
        <w:left w:val="single" w:sz="4" w:space="0" w:color="000000"/>
        <w:bottom w:val="single" w:sz="4" w:space="0" w:color="000000"/>
        <w:right w:val="single" w:sz="4" w:space="0" w:color="000000"/>
      </w:pBdr>
      <w:shd w:val="clear" w:fill="CCFFFF"/>
      <w:spacing w:lineRule="auto" w:line="240" w:before="280" w:after="280"/>
      <w:jc w:val="center"/>
      <w:textAlignment w:val="center"/>
    </w:pPr>
    <w:rPr>
      <w:rFonts w:ascii="Times New Roman" w:hAnsi="Times New Roman" w:eastAsia="Times New Roman" w:cs="Times New Roman"/>
      <w:b/>
      <w:bCs/>
      <w:sz w:val="24"/>
      <w:szCs w:val="24"/>
      <w:lang w:eastAsia="pl-PL"/>
    </w:rPr>
  </w:style>
  <w:style w:type="paragraph" w:styleId="Xl125">
    <w:name w:val="xl125"/>
    <w:basedOn w:val="Normal"/>
    <w:qFormat/>
    <w:pPr>
      <w:pBdr>
        <w:top w:val="single" w:sz="4" w:space="0" w:color="000000"/>
        <w:left w:val="single" w:sz="4" w:space="0" w:color="000000"/>
        <w:bottom w:val="single" w:sz="4" w:space="0" w:color="000000"/>
        <w:right w:val="single" w:sz="4" w:space="0" w:color="000000"/>
      </w:pBdr>
      <w:shd w:val="clear" w:fill="CCFFFF"/>
      <w:spacing w:lineRule="auto" w:line="240" w:before="280" w:after="280"/>
      <w:jc w:val="center"/>
      <w:textAlignment w:val="center"/>
    </w:pPr>
    <w:rPr>
      <w:rFonts w:ascii="Times New Roman" w:hAnsi="Times New Roman" w:eastAsia="Times New Roman" w:cs="Times New Roman"/>
      <w:b/>
      <w:bCs/>
      <w:sz w:val="24"/>
      <w:szCs w:val="24"/>
      <w:lang w:eastAsia="pl-PL"/>
    </w:rPr>
  </w:style>
  <w:style w:type="paragraph" w:styleId="Xl126">
    <w:name w:val="xl126"/>
    <w:basedOn w:val="Normal"/>
    <w:qFormat/>
    <w:pPr>
      <w:pBdr>
        <w:top w:val="single" w:sz="4" w:space="0" w:color="000000"/>
        <w:left w:val="single" w:sz="4" w:space="0" w:color="000000"/>
        <w:bottom w:val="single" w:sz="4" w:space="0" w:color="000000"/>
        <w:right w:val="single" w:sz="4" w:space="0" w:color="000000"/>
      </w:pBdr>
      <w:shd w:val="clear" w:fill="FFCC99"/>
      <w:spacing w:lineRule="auto" w:line="240" w:before="280" w:after="280"/>
      <w:jc w:val="center"/>
      <w:textAlignment w:val="center"/>
    </w:pPr>
    <w:rPr>
      <w:rFonts w:ascii="Times New Roman" w:hAnsi="Times New Roman" w:eastAsia="Times New Roman" w:cs="Times New Roman"/>
      <w:sz w:val="24"/>
      <w:szCs w:val="24"/>
      <w:lang w:eastAsia="pl-PL"/>
    </w:rPr>
  </w:style>
  <w:style w:type="paragraph" w:styleId="Xl127">
    <w:name w:val="xl127"/>
    <w:basedOn w:val="Normal"/>
    <w:qFormat/>
    <w:pPr>
      <w:pBdr>
        <w:top w:val="single" w:sz="4" w:space="0" w:color="000000"/>
        <w:left w:val="single" w:sz="4" w:space="0" w:color="000000"/>
        <w:bottom w:val="single" w:sz="4" w:space="0" w:color="000000"/>
        <w:right w:val="single" w:sz="4" w:space="0" w:color="000000"/>
      </w:pBdr>
      <w:shd w:val="clear" w:fill="FFCC99"/>
      <w:spacing w:lineRule="auto" w:line="240" w:before="280" w:after="280"/>
      <w:jc w:val="center"/>
      <w:textAlignment w:val="center"/>
    </w:pPr>
    <w:rPr>
      <w:rFonts w:ascii="Times New Roman" w:hAnsi="Times New Roman" w:eastAsia="Times New Roman" w:cs="Times New Roman"/>
      <w:b/>
      <w:bCs/>
      <w:sz w:val="24"/>
      <w:szCs w:val="24"/>
      <w:lang w:eastAsia="pl-PL"/>
    </w:rPr>
  </w:style>
  <w:style w:type="paragraph" w:styleId="Xl128">
    <w:name w:val="xl128"/>
    <w:basedOn w:val="Normal"/>
    <w:qFormat/>
    <w:pPr>
      <w:pBdr>
        <w:top w:val="single" w:sz="4" w:space="0" w:color="000000"/>
        <w:left w:val="single" w:sz="4" w:space="0" w:color="000000"/>
        <w:bottom w:val="single" w:sz="4" w:space="0" w:color="000000"/>
      </w:pBdr>
      <w:shd w:val="clear" w:fill="FF9900"/>
      <w:spacing w:lineRule="auto" w:line="240" w:before="280" w:after="280"/>
      <w:jc w:val="center"/>
      <w:textAlignment w:val="center"/>
    </w:pPr>
    <w:rPr>
      <w:rFonts w:ascii="Times New Roman" w:hAnsi="Times New Roman" w:eastAsia="Times New Roman" w:cs="Times New Roman"/>
      <w:b/>
      <w:bCs/>
      <w:sz w:val="24"/>
      <w:szCs w:val="24"/>
      <w:lang w:eastAsia="pl-PL"/>
    </w:rPr>
  </w:style>
  <w:style w:type="paragraph" w:styleId="Xl129">
    <w:name w:val="xl129"/>
    <w:basedOn w:val="Normal"/>
    <w:qFormat/>
    <w:pPr>
      <w:pBdr>
        <w:top w:val="single" w:sz="4" w:space="0" w:color="000000"/>
        <w:bottom w:val="single" w:sz="4" w:space="0" w:color="000000"/>
      </w:pBdr>
      <w:shd w:val="clear" w:fill="FF9900"/>
      <w:spacing w:lineRule="auto" w:line="240" w:before="280" w:after="280"/>
      <w:jc w:val="center"/>
      <w:textAlignment w:val="center"/>
    </w:pPr>
    <w:rPr>
      <w:rFonts w:ascii="Times New Roman" w:hAnsi="Times New Roman" w:eastAsia="Times New Roman" w:cs="Times New Roman"/>
      <w:b/>
      <w:bCs/>
      <w:sz w:val="24"/>
      <w:szCs w:val="24"/>
      <w:lang w:eastAsia="pl-PL"/>
    </w:rPr>
  </w:style>
  <w:style w:type="paragraph" w:styleId="Xl130">
    <w:name w:val="xl130"/>
    <w:basedOn w:val="Normal"/>
    <w:qFormat/>
    <w:pPr>
      <w:pBdr>
        <w:top w:val="single" w:sz="4" w:space="0" w:color="000000"/>
        <w:bottom w:val="single" w:sz="4" w:space="0" w:color="000000"/>
        <w:right w:val="single" w:sz="4" w:space="0" w:color="000000"/>
      </w:pBdr>
      <w:shd w:val="clear" w:fill="FF9900"/>
      <w:spacing w:lineRule="auto" w:line="240" w:before="280" w:after="280"/>
      <w:jc w:val="center"/>
      <w:textAlignment w:val="center"/>
    </w:pPr>
    <w:rPr>
      <w:rFonts w:ascii="Times New Roman" w:hAnsi="Times New Roman" w:eastAsia="Times New Roman" w:cs="Times New Roman"/>
      <w:b/>
      <w:bCs/>
      <w:sz w:val="24"/>
      <w:szCs w:val="24"/>
      <w:lang w:eastAsia="pl-PL"/>
    </w:rPr>
  </w:style>
  <w:style w:type="paragraph" w:styleId="Xl131">
    <w:name w:val="xl131"/>
    <w:basedOn w:val="Normal"/>
    <w:qFormat/>
    <w:pPr>
      <w:pBdr>
        <w:top w:val="single" w:sz="4" w:space="0" w:color="000000"/>
        <w:left w:val="single" w:sz="4" w:space="0" w:color="000000"/>
        <w:bottom w:val="single" w:sz="4" w:space="0" w:color="000000"/>
      </w:pBdr>
      <w:shd w:val="clear" w:fill="FFD320"/>
      <w:spacing w:lineRule="auto" w:line="240" w:before="280" w:after="280"/>
      <w:jc w:val="center"/>
      <w:textAlignment w:val="center"/>
    </w:pPr>
    <w:rPr>
      <w:rFonts w:ascii="Times New Roman" w:hAnsi="Times New Roman" w:eastAsia="Times New Roman" w:cs="Times New Roman"/>
      <w:b/>
      <w:bCs/>
      <w:sz w:val="24"/>
      <w:szCs w:val="24"/>
      <w:lang w:eastAsia="pl-PL"/>
    </w:rPr>
  </w:style>
  <w:style w:type="paragraph" w:styleId="Xl132">
    <w:name w:val="xl132"/>
    <w:basedOn w:val="Normal"/>
    <w:qFormat/>
    <w:pPr>
      <w:pBdr>
        <w:top w:val="single" w:sz="4" w:space="0" w:color="000000"/>
        <w:bottom w:val="single" w:sz="4" w:space="0" w:color="000000"/>
      </w:pBdr>
      <w:shd w:val="clear" w:fill="FFD320"/>
      <w:spacing w:lineRule="auto" w:line="240" w:before="280" w:after="280"/>
      <w:jc w:val="center"/>
      <w:textAlignment w:val="center"/>
    </w:pPr>
    <w:rPr>
      <w:rFonts w:ascii="Times New Roman" w:hAnsi="Times New Roman" w:eastAsia="Times New Roman" w:cs="Times New Roman"/>
      <w:b/>
      <w:bCs/>
      <w:sz w:val="24"/>
      <w:szCs w:val="24"/>
      <w:lang w:eastAsia="pl-PL"/>
    </w:rPr>
  </w:style>
  <w:style w:type="paragraph" w:styleId="Xl133">
    <w:name w:val="xl133"/>
    <w:basedOn w:val="Normal"/>
    <w:qFormat/>
    <w:pPr>
      <w:pBdr>
        <w:top w:val="single" w:sz="4" w:space="0" w:color="000000"/>
        <w:left w:val="single" w:sz="4" w:space="0" w:color="000000"/>
        <w:bottom w:val="single" w:sz="4" w:space="0" w:color="000000"/>
      </w:pBdr>
      <w:shd w:val="clear" w:fill="C65911"/>
      <w:spacing w:lineRule="auto" w:line="240" w:before="280" w:after="280"/>
      <w:jc w:val="center"/>
      <w:textAlignment w:val="center"/>
    </w:pPr>
    <w:rPr>
      <w:rFonts w:ascii="Times New Roman" w:hAnsi="Times New Roman" w:eastAsia="Times New Roman" w:cs="Times New Roman"/>
      <w:b/>
      <w:bCs/>
      <w:sz w:val="24"/>
      <w:szCs w:val="24"/>
      <w:lang w:eastAsia="pl-PL"/>
    </w:rPr>
  </w:style>
  <w:style w:type="paragraph" w:styleId="Xl134">
    <w:name w:val="xl134"/>
    <w:basedOn w:val="Normal"/>
    <w:qFormat/>
    <w:pPr>
      <w:pBdr>
        <w:top w:val="single" w:sz="4" w:space="0" w:color="000000"/>
        <w:bottom w:val="single" w:sz="4" w:space="0" w:color="000000"/>
      </w:pBdr>
      <w:shd w:val="clear" w:fill="C65911"/>
      <w:spacing w:lineRule="auto" w:line="240" w:before="280" w:after="280"/>
      <w:jc w:val="center"/>
      <w:textAlignment w:val="center"/>
    </w:pPr>
    <w:rPr>
      <w:rFonts w:ascii="Times New Roman" w:hAnsi="Times New Roman" w:eastAsia="Times New Roman" w:cs="Times New Roman"/>
      <w:b/>
      <w:bCs/>
      <w:sz w:val="24"/>
      <w:szCs w:val="24"/>
      <w:lang w:eastAsia="pl-PL"/>
    </w:rPr>
  </w:style>
  <w:style w:type="paragraph" w:styleId="Xl135">
    <w:name w:val="xl135"/>
    <w:basedOn w:val="Normal"/>
    <w:qFormat/>
    <w:pPr>
      <w:pBdr>
        <w:top w:val="single" w:sz="4" w:space="0" w:color="000000"/>
        <w:bottom w:val="single" w:sz="4" w:space="0" w:color="000000"/>
        <w:right w:val="single" w:sz="4" w:space="0" w:color="000000"/>
      </w:pBdr>
      <w:shd w:val="clear" w:fill="C65911"/>
      <w:spacing w:lineRule="auto" w:line="240" w:before="280" w:after="280"/>
      <w:jc w:val="center"/>
      <w:textAlignment w:val="center"/>
    </w:pPr>
    <w:rPr>
      <w:rFonts w:ascii="Times New Roman" w:hAnsi="Times New Roman" w:eastAsia="Times New Roman" w:cs="Times New Roman"/>
      <w:b/>
      <w:bCs/>
      <w:sz w:val="24"/>
      <w:szCs w:val="24"/>
      <w:lang w:eastAsia="pl-PL"/>
    </w:rPr>
  </w:style>
  <w:style w:type="paragraph" w:styleId="Xl136">
    <w:name w:val="xl136"/>
    <w:basedOn w:val="Normal"/>
    <w:qFormat/>
    <w:pPr>
      <w:pBdr>
        <w:top w:val="single" w:sz="4" w:space="0" w:color="000000"/>
        <w:left w:val="single" w:sz="4" w:space="0" w:color="000000"/>
        <w:bottom w:val="single" w:sz="4" w:space="0" w:color="000000"/>
      </w:pBdr>
      <w:shd w:val="clear" w:fill="9BC2E6"/>
      <w:spacing w:lineRule="auto" w:line="240" w:before="280" w:after="280"/>
      <w:jc w:val="center"/>
    </w:pPr>
    <w:rPr>
      <w:rFonts w:ascii="Times New Roman" w:hAnsi="Times New Roman" w:eastAsia="Times New Roman" w:cs="Times New Roman"/>
      <w:b/>
      <w:bCs/>
      <w:sz w:val="24"/>
      <w:szCs w:val="24"/>
      <w:lang w:eastAsia="pl-PL"/>
    </w:rPr>
  </w:style>
  <w:style w:type="paragraph" w:styleId="Xl137">
    <w:name w:val="xl137"/>
    <w:basedOn w:val="Normal"/>
    <w:qFormat/>
    <w:pPr>
      <w:pBdr>
        <w:top w:val="single" w:sz="4" w:space="0" w:color="000000"/>
        <w:bottom w:val="single" w:sz="4" w:space="0" w:color="000000"/>
      </w:pBdr>
      <w:shd w:val="clear" w:fill="9BC2E6"/>
      <w:spacing w:lineRule="auto" w:line="240" w:before="280" w:after="280"/>
      <w:jc w:val="center"/>
    </w:pPr>
    <w:rPr>
      <w:rFonts w:ascii="Times New Roman" w:hAnsi="Times New Roman" w:eastAsia="Times New Roman" w:cs="Times New Roman"/>
      <w:b/>
      <w:bCs/>
      <w:sz w:val="24"/>
      <w:szCs w:val="24"/>
      <w:lang w:eastAsia="pl-PL"/>
    </w:rPr>
  </w:style>
  <w:style w:type="paragraph" w:styleId="Xl138">
    <w:name w:val="xl138"/>
    <w:basedOn w:val="Normal"/>
    <w:qFormat/>
    <w:pPr>
      <w:pBdr>
        <w:top w:val="single" w:sz="4" w:space="0" w:color="000000"/>
        <w:bottom w:val="single" w:sz="4" w:space="0" w:color="000000"/>
        <w:right w:val="single" w:sz="4" w:space="0" w:color="000000"/>
      </w:pBdr>
      <w:shd w:val="clear" w:fill="9BC2E6"/>
      <w:spacing w:lineRule="auto" w:line="240" w:before="280" w:after="280"/>
      <w:jc w:val="center"/>
    </w:pPr>
    <w:rPr>
      <w:rFonts w:ascii="Times New Roman" w:hAnsi="Times New Roman" w:eastAsia="Times New Roman" w:cs="Times New Roman"/>
      <w:b/>
      <w:bCs/>
      <w:sz w:val="24"/>
      <w:szCs w:val="24"/>
      <w:lang w:eastAsia="pl-PL"/>
    </w:rPr>
  </w:style>
  <w:style w:type="paragraph" w:styleId="Xl139">
    <w:name w:val="xl139"/>
    <w:basedOn w:val="Normal"/>
    <w:qFormat/>
    <w:pPr>
      <w:pBdr>
        <w:top w:val="single" w:sz="4" w:space="0" w:color="000000"/>
        <w:left w:val="single" w:sz="4" w:space="0" w:color="000000"/>
        <w:bottom w:val="single" w:sz="4" w:space="0" w:color="000000"/>
      </w:pBdr>
      <w:shd w:val="clear" w:fill="70B5F4"/>
      <w:spacing w:lineRule="auto" w:line="240" w:before="280" w:after="280"/>
      <w:jc w:val="center"/>
    </w:pPr>
    <w:rPr>
      <w:rFonts w:ascii="Times New Roman" w:hAnsi="Times New Roman" w:eastAsia="Times New Roman" w:cs="Times New Roman"/>
      <w:b/>
      <w:bCs/>
      <w:sz w:val="24"/>
      <w:szCs w:val="24"/>
      <w:lang w:eastAsia="pl-PL"/>
    </w:rPr>
  </w:style>
  <w:style w:type="paragraph" w:styleId="Xl140">
    <w:name w:val="xl140"/>
    <w:basedOn w:val="Normal"/>
    <w:qFormat/>
    <w:pPr>
      <w:pBdr>
        <w:top w:val="single" w:sz="4" w:space="0" w:color="000000"/>
        <w:bottom w:val="single" w:sz="4" w:space="0" w:color="000000"/>
      </w:pBdr>
      <w:shd w:val="clear" w:fill="70B5F4"/>
      <w:spacing w:lineRule="auto" w:line="240" w:before="280" w:after="280"/>
      <w:jc w:val="center"/>
    </w:pPr>
    <w:rPr>
      <w:rFonts w:ascii="Times New Roman" w:hAnsi="Times New Roman" w:eastAsia="Times New Roman" w:cs="Times New Roman"/>
      <w:b/>
      <w:bCs/>
      <w:sz w:val="24"/>
      <w:szCs w:val="24"/>
      <w:lang w:eastAsia="pl-PL"/>
    </w:rPr>
  </w:style>
  <w:style w:type="paragraph" w:styleId="Xl141">
    <w:name w:val="xl141"/>
    <w:basedOn w:val="Normal"/>
    <w:qFormat/>
    <w:pPr>
      <w:pBdr>
        <w:top w:val="single" w:sz="4" w:space="0" w:color="000000"/>
        <w:bottom w:val="single" w:sz="4" w:space="0" w:color="000000"/>
        <w:right w:val="single" w:sz="4" w:space="0" w:color="000000"/>
      </w:pBdr>
      <w:shd w:val="clear" w:fill="70B5F4"/>
      <w:spacing w:lineRule="auto" w:line="240" w:before="280" w:after="280"/>
      <w:jc w:val="center"/>
    </w:pPr>
    <w:rPr>
      <w:rFonts w:ascii="Times New Roman" w:hAnsi="Times New Roman" w:eastAsia="Times New Roman" w:cs="Times New Roman"/>
      <w:b/>
      <w:bCs/>
      <w:sz w:val="24"/>
      <w:szCs w:val="24"/>
      <w:lang w:eastAsia="pl-PL"/>
    </w:rPr>
  </w:style>
  <w:style w:type="paragraph" w:styleId="Xl142">
    <w:name w:val="xl142"/>
    <w:basedOn w:val="Normal"/>
    <w:qFormat/>
    <w:pPr>
      <w:pBdr>
        <w:top w:val="single" w:sz="4" w:space="0" w:color="000000"/>
        <w:left w:val="single" w:sz="4" w:space="0" w:color="000000"/>
        <w:bottom w:val="single" w:sz="4" w:space="0" w:color="000000"/>
      </w:pBdr>
      <w:shd w:val="clear" w:fill="669966"/>
      <w:spacing w:lineRule="auto" w:line="240" w:before="280" w:after="280"/>
      <w:jc w:val="center"/>
    </w:pPr>
    <w:rPr>
      <w:rFonts w:ascii="Times New Roman" w:hAnsi="Times New Roman" w:eastAsia="Times New Roman" w:cs="Times New Roman"/>
      <w:b/>
      <w:bCs/>
      <w:sz w:val="24"/>
      <w:szCs w:val="24"/>
      <w:lang w:eastAsia="pl-PL"/>
    </w:rPr>
  </w:style>
  <w:style w:type="paragraph" w:styleId="Xl143">
    <w:name w:val="xl143"/>
    <w:basedOn w:val="Normal"/>
    <w:qFormat/>
    <w:pPr>
      <w:pBdr>
        <w:top w:val="single" w:sz="4" w:space="0" w:color="000000"/>
        <w:bottom w:val="single" w:sz="4" w:space="0" w:color="000000"/>
      </w:pBdr>
      <w:shd w:val="clear" w:fill="669966"/>
      <w:spacing w:lineRule="auto" w:line="240" w:before="280" w:after="280"/>
      <w:jc w:val="center"/>
    </w:pPr>
    <w:rPr>
      <w:rFonts w:ascii="Times New Roman" w:hAnsi="Times New Roman" w:eastAsia="Times New Roman" w:cs="Times New Roman"/>
      <w:b/>
      <w:bCs/>
      <w:sz w:val="24"/>
      <w:szCs w:val="24"/>
      <w:lang w:eastAsia="pl-PL"/>
    </w:rPr>
  </w:style>
  <w:style w:type="paragraph" w:styleId="Xl144">
    <w:name w:val="xl144"/>
    <w:basedOn w:val="Normal"/>
    <w:qFormat/>
    <w:pPr>
      <w:pBdr>
        <w:top w:val="single" w:sz="4" w:space="0" w:color="000000"/>
        <w:left w:val="single" w:sz="4" w:space="0" w:color="000000"/>
        <w:bottom w:val="single" w:sz="4" w:space="0" w:color="000000"/>
      </w:pBdr>
      <w:shd w:val="clear" w:fill="53AB68"/>
      <w:spacing w:lineRule="auto" w:line="240" w:before="280" w:after="280"/>
      <w:jc w:val="center"/>
    </w:pPr>
    <w:rPr>
      <w:rFonts w:ascii="Times New Roman" w:hAnsi="Times New Roman" w:eastAsia="Times New Roman" w:cs="Times New Roman"/>
      <w:b/>
      <w:bCs/>
      <w:sz w:val="24"/>
      <w:szCs w:val="24"/>
      <w:lang w:eastAsia="pl-PL"/>
    </w:rPr>
  </w:style>
  <w:style w:type="paragraph" w:styleId="Xl145">
    <w:name w:val="xl145"/>
    <w:basedOn w:val="Normal"/>
    <w:qFormat/>
    <w:pPr>
      <w:pBdr>
        <w:top w:val="single" w:sz="4" w:space="0" w:color="000000"/>
        <w:bottom w:val="single" w:sz="4" w:space="0" w:color="000000"/>
      </w:pBdr>
      <w:shd w:val="clear" w:fill="53AB68"/>
      <w:spacing w:lineRule="auto" w:line="240" w:before="280" w:after="280"/>
      <w:jc w:val="center"/>
    </w:pPr>
    <w:rPr>
      <w:rFonts w:ascii="Times New Roman" w:hAnsi="Times New Roman" w:eastAsia="Times New Roman" w:cs="Times New Roman"/>
      <w:b/>
      <w:bCs/>
      <w:sz w:val="24"/>
      <w:szCs w:val="24"/>
      <w:lang w:eastAsia="pl-PL"/>
    </w:rPr>
  </w:style>
  <w:style w:type="paragraph" w:styleId="Xl146">
    <w:name w:val="xl146"/>
    <w:basedOn w:val="Normal"/>
    <w:qFormat/>
    <w:pPr>
      <w:pBdr>
        <w:top w:val="single" w:sz="4" w:space="0" w:color="000000"/>
        <w:left w:val="single" w:sz="4" w:space="0" w:color="000000"/>
        <w:bottom w:val="single" w:sz="4" w:space="0" w:color="000000"/>
      </w:pBdr>
      <w:shd w:val="clear" w:fill="9BC2E6"/>
      <w:spacing w:lineRule="auto" w:line="240" w:before="280" w:after="280"/>
      <w:jc w:val="center"/>
      <w:textAlignment w:val="center"/>
    </w:pPr>
    <w:rPr>
      <w:rFonts w:ascii="Times New Roman" w:hAnsi="Times New Roman" w:eastAsia="Times New Roman" w:cs="Times New Roman"/>
      <w:b/>
      <w:bCs/>
      <w:sz w:val="24"/>
      <w:szCs w:val="24"/>
      <w:lang w:eastAsia="pl-PL"/>
    </w:rPr>
  </w:style>
  <w:style w:type="paragraph" w:styleId="Xl147">
    <w:name w:val="xl147"/>
    <w:basedOn w:val="Normal"/>
    <w:qFormat/>
    <w:pPr>
      <w:pBdr>
        <w:top w:val="single" w:sz="4" w:space="0" w:color="000000"/>
        <w:bottom w:val="single" w:sz="4" w:space="0" w:color="000000"/>
      </w:pBdr>
      <w:shd w:val="clear" w:fill="9BC2E6"/>
      <w:spacing w:lineRule="auto" w:line="240" w:before="280" w:after="280"/>
      <w:jc w:val="center"/>
      <w:textAlignment w:val="center"/>
    </w:pPr>
    <w:rPr>
      <w:rFonts w:ascii="Times New Roman" w:hAnsi="Times New Roman" w:eastAsia="Times New Roman" w:cs="Times New Roman"/>
      <w:b/>
      <w:bCs/>
      <w:sz w:val="24"/>
      <w:szCs w:val="24"/>
      <w:lang w:eastAsia="pl-PL"/>
    </w:rPr>
  </w:style>
  <w:style w:type="paragraph" w:styleId="Xl148">
    <w:name w:val="xl148"/>
    <w:basedOn w:val="Normal"/>
    <w:qFormat/>
    <w:pPr>
      <w:pBdr>
        <w:top w:val="single" w:sz="4" w:space="0" w:color="000000"/>
        <w:bottom w:val="single" w:sz="4" w:space="0" w:color="000000"/>
        <w:right w:val="single" w:sz="4" w:space="0" w:color="000000"/>
      </w:pBdr>
      <w:shd w:val="clear" w:fill="9BC2E6"/>
      <w:spacing w:lineRule="auto" w:line="240" w:before="280" w:after="280"/>
      <w:jc w:val="center"/>
      <w:textAlignment w:val="center"/>
    </w:pPr>
    <w:rPr>
      <w:rFonts w:ascii="Times New Roman" w:hAnsi="Times New Roman" w:eastAsia="Times New Roman" w:cs="Times New Roman"/>
      <w:b/>
      <w:bCs/>
      <w:sz w:val="24"/>
      <w:szCs w:val="24"/>
      <w:lang w:eastAsia="pl-PL"/>
    </w:rPr>
  </w:style>
  <w:style w:type="paragraph" w:styleId="Xl149">
    <w:name w:val="xl149"/>
    <w:basedOn w:val="Normal"/>
    <w:qFormat/>
    <w:pPr>
      <w:pBdr>
        <w:top w:val="single" w:sz="4" w:space="0" w:color="000000"/>
        <w:left w:val="single" w:sz="4" w:space="0" w:color="000000"/>
        <w:bottom w:val="single" w:sz="4" w:space="0" w:color="000000"/>
      </w:pBdr>
      <w:shd w:val="clear" w:fill="0087E2"/>
      <w:spacing w:lineRule="auto" w:line="240" w:before="280" w:after="280"/>
      <w:jc w:val="center"/>
    </w:pPr>
    <w:rPr>
      <w:rFonts w:ascii="Times New Roman" w:hAnsi="Times New Roman" w:eastAsia="Times New Roman" w:cs="Times New Roman"/>
      <w:b/>
      <w:bCs/>
      <w:sz w:val="24"/>
      <w:szCs w:val="24"/>
      <w:lang w:eastAsia="pl-PL"/>
    </w:rPr>
  </w:style>
  <w:style w:type="paragraph" w:styleId="Xl150">
    <w:name w:val="xl150"/>
    <w:basedOn w:val="Normal"/>
    <w:qFormat/>
    <w:pPr>
      <w:pBdr>
        <w:top w:val="single" w:sz="4" w:space="0" w:color="000000"/>
        <w:bottom w:val="single" w:sz="4" w:space="0" w:color="000000"/>
      </w:pBdr>
      <w:shd w:val="clear" w:fill="0087E2"/>
      <w:spacing w:lineRule="auto" w:line="240" w:before="280" w:after="280"/>
      <w:jc w:val="center"/>
    </w:pPr>
    <w:rPr>
      <w:rFonts w:ascii="Times New Roman" w:hAnsi="Times New Roman" w:eastAsia="Times New Roman" w:cs="Times New Roman"/>
      <w:b/>
      <w:bCs/>
      <w:sz w:val="24"/>
      <w:szCs w:val="24"/>
      <w:lang w:eastAsia="pl-PL"/>
    </w:rPr>
  </w:style>
  <w:style w:type="paragraph" w:styleId="Xl151">
    <w:name w:val="xl151"/>
    <w:basedOn w:val="Normal"/>
    <w:qFormat/>
    <w:pPr>
      <w:pBdr>
        <w:top w:val="single" w:sz="4" w:space="0" w:color="000000"/>
        <w:bottom w:val="single" w:sz="4" w:space="0" w:color="000000"/>
        <w:right w:val="single" w:sz="4" w:space="0" w:color="000000"/>
      </w:pBdr>
      <w:shd w:val="clear" w:fill="0087E2"/>
      <w:spacing w:lineRule="auto" w:line="240" w:before="280" w:after="280"/>
      <w:jc w:val="center"/>
    </w:pPr>
    <w:rPr>
      <w:rFonts w:ascii="Times New Roman" w:hAnsi="Times New Roman" w:eastAsia="Times New Roman" w:cs="Times New Roman"/>
      <w:b/>
      <w:bCs/>
      <w:sz w:val="24"/>
      <w:szCs w:val="24"/>
      <w:lang w:eastAsia="pl-PL"/>
    </w:rPr>
  </w:style>
  <w:style w:type="paragraph" w:styleId="Xl152">
    <w:name w:val="xl152"/>
    <w:basedOn w:val="Normal"/>
    <w:qFormat/>
    <w:pPr>
      <w:pBdr>
        <w:top w:val="single" w:sz="4" w:space="0" w:color="000000"/>
        <w:left w:val="single" w:sz="4" w:space="0" w:color="000000"/>
        <w:bottom w:val="single" w:sz="4" w:space="0" w:color="000000"/>
      </w:pBdr>
      <w:shd w:val="clear" w:fill="C65911"/>
      <w:spacing w:lineRule="auto" w:line="240" w:before="280" w:after="280"/>
      <w:jc w:val="center"/>
    </w:pPr>
    <w:rPr>
      <w:rFonts w:ascii="Times New Roman" w:hAnsi="Times New Roman" w:eastAsia="Times New Roman" w:cs="Times New Roman"/>
      <w:b/>
      <w:bCs/>
      <w:sz w:val="24"/>
      <w:szCs w:val="24"/>
      <w:lang w:eastAsia="pl-PL"/>
    </w:rPr>
  </w:style>
  <w:style w:type="paragraph" w:styleId="Xl153">
    <w:name w:val="xl153"/>
    <w:basedOn w:val="Normal"/>
    <w:qFormat/>
    <w:pPr>
      <w:pBdr>
        <w:top w:val="single" w:sz="4" w:space="0" w:color="000000"/>
        <w:bottom w:val="single" w:sz="4" w:space="0" w:color="000000"/>
      </w:pBdr>
      <w:shd w:val="clear" w:fill="C65911"/>
      <w:spacing w:lineRule="auto" w:line="240" w:before="280" w:after="280"/>
      <w:jc w:val="center"/>
    </w:pPr>
    <w:rPr>
      <w:rFonts w:ascii="Times New Roman" w:hAnsi="Times New Roman" w:eastAsia="Times New Roman" w:cs="Times New Roman"/>
      <w:b/>
      <w:bCs/>
      <w:sz w:val="24"/>
      <w:szCs w:val="24"/>
      <w:lang w:eastAsia="pl-PL"/>
    </w:rPr>
  </w:style>
  <w:style w:type="paragraph" w:styleId="Xl154">
    <w:name w:val="xl154"/>
    <w:basedOn w:val="Normal"/>
    <w:qFormat/>
    <w:pPr>
      <w:pBdr>
        <w:top w:val="single" w:sz="4" w:space="0" w:color="000000"/>
        <w:bottom w:val="single" w:sz="4" w:space="0" w:color="000000"/>
        <w:right w:val="single" w:sz="4" w:space="0" w:color="000000"/>
      </w:pBdr>
      <w:shd w:val="clear" w:fill="C65911"/>
      <w:spacing w:lineRule="auto" w:line="240" w:before="280" w:after="280"/>
      <w:jc w:val="center"/>
    </w:pPr>
    <w:rPr>
      <w:rFonts w:ascii="Times New Roman" w:hAnsi="Times New Roman" w:eastAsia="Times New Roman" w:cs="Times New Roman"/>
      <w:b/>
      <w:bCs/>
      <w:sz w:val="24"/>
      <w:szCs w:val="24"/>
      <w:lang w:eastAsia="pl-PL"/>
    </w:rPr>
  </w:style>
  <w:style w:type="paragraph" w:styleId="Xl155">
    <w:name w:val="xl155"/>
    <w:basedOn w:val="Normal"/>
    <w:qFormat/>
    <w:pPr>
      <w:pBdr>
        <w:top w:val="single" w:sz="4" w:space="0" w:color="000000"/>
        <w:left w:val="single" w:sz="4" w:space="0" w:color="000000"/>
        <w:bottom w:val="single" w:sz="4" w:space="0" w:color="000000"/>
      </w:pBdr>
      <w:shd w:val="clear" w:fill="FF9900"/>
      <w:spacing w:lineRule="auto" w:line="240" w:before="280" w:after="280"/>
      <w:jc w:val="center"/>
    </w:pPr>
    <w:rPr>
      <w:rFonts w:ascii="Times New Roman" w:hAnsi="Times New Roman" w:eastAsia="Times New Roman" w:cs="Times New Roman"/>
      <w:b/>
      <w:bCs/>
      <w:sz w:val="24"/>
      <w:szCs w:val="24"/>
      <w:lang w:eastAsia="pl-PL"/>
    </w:rPr>
  </w:style>
  <w:style w:type="paragraph" w:styleId="Xl156">
    <w:name w:val="xl156"/>
    <w:basedOn w:val="Normal"/>
    <w:qFormat/>
    <w:pPr>
      <w:pBdr>
        <w:top w:val="single" w:sz="4" w:space="0" w:color="000000"/>
        <w:bottom w:val="single" w:sz="4" w:space="0" w:color="000000"/>
      </w:pBdr>
      <w:shd w:val="clear" w:fill="FF9900"/>
      <w:spacing w:lineRule="auto" w:line="240" w:before="280" w:after="280"/>
      <w:jc w:val="center"/>
    </w:pPr>
    <w:rPr>
      <w:rFonts w:ascii="Times New Roman" w:hAnsi="Times New Roman" w:eastAsia="Times New Roman" w:cs="Times New Roman"/>
      <w:b/>
      <w:bCs/>
      <w:sz w:val="24"/>
      <w:szCs w:val="24"/>
      <w:lang w:eastAsia="pl-PL"/>
    </w:rPr>
  </w:style>
  <w:style w:type="paragraph" w:styleId="Xl157">
    <w:name w:val="xl157"/>
    <w:basedOn w:val="Normal"/>
    <w:qFormat/>
    <w:pPr>
      <w:pBdr>
        <w:top w:val="single" w:sz="4" w:space="0" w:color="000000"/>
        <w:bottom w:val="single" w:sz="4" w:space="0" w:color="000000"/>
        <w:right w:val="single" w:sz="4" w:space="0" w:color="000000"/>
      </w:pBdr>
      <w:shd w:val="clear" w:fill="FF9900"/>
      <w:spacing w:lineRule="auto" w:line="240" w:before="280" w:after="280"/>
      <w:jc w:val="center"/>
    </w:pPr>
    <w:rPr>
      <w:rFonts w:ascii="Times New Roman" w:hAnsi="Times New Roman" w:eastAsia="Times New Roman" w:cs="Times New Roman"/>
      <w:b/>
      <w:bCs/>
      <w:sz w:val="24"/>
      <w:szCs w:val="24"/>
      <w:lang w:eastAsia="pl-PL"/>
    </w:rPr>
  </w:style>
  <w:style w:type="paragraph" w:styleId="Spistreci4">
    <w:name w:val="TOC 4"/>
    <w:basedOn w:val="Normal"/>
    <w:next w:val="Normal"/>
    <w:autoRedefine/>
    <w:pPr>
      <w:spacing w:lineRule="auto" w:line="259" w:before="0" w:after="100"/>
      <w:ind w:left="660" w:right="0" w:hanging="0"/>
      <w:jc w:val="left"/>
    </w:pPr>
    <w:rPr>
      <w:lang w:eastAsia="pl-PL"/>
    </w:rPr>
  </w:style>
  <w:style w:type="paragraph" w:styleId="Spistreci5">
    <w:name w:val="TOC 5"/>
    <w:basedOn w:val="Normal"/>
    <w:next w:val="Normal"/>
    <w:autoRedefine/>
    <w:pPr>
      <w:spacing w:lineRule="auto" w:line="259" w:before="0" w:after="100"/>
      <w:ind w:left="880" w:right="0" w:hanging="0"/>
      <w:jc w:val="left"/>
    </w:pPr>
    <w:rPr>
      <w:lang w:eastAsia="pl-PL"/>
    </w:rPr>
  </w:style>
  <w:style w:type="paragraph" w:styleId="Spistreci6">
    <w:name w:val="TOC 6"/>
    <w:basedOn w:val="Normal"/>
    <w:next w:val="Normal"/>
    <w:autoRedefine/>
    <w:pPr>
      <w:spacing w:lineRule="auto" w:line="259" w:before="0" w:after="100"/>
      <w:ind w:left="1100" w:right="0" w:hanging="0"/>
      <w:jc w:val="left"/>
    </w:pPr>
    <w:rPr>
      <w:lang w:eastAsia="pl-PL"/>
    </w:rPr>
  </w:style>
  <w:style w:type="paragraph" w:styleId="Spistreci7">
    <w:name w:val="TOC 7"/>
    <w:basedOn w:val="Normal"/>
    <w:next w:val="Normal"/>
    <w:autoRedefine/>
    <w:pPr>
      <w:spacing w:lineRule="auto" w:line="259" w:before="0" w:after="100"/>
      <w:ind w:left="1320" w:right="0" w:hanging="0"/>
      <w:jc w:val="left"/>
    </w:pPr>
    <w:rPr>
      <w:lang w:eastAsia="pl-PL"/>
    </w:rPr>
  </w:style>
  <w:style w:type="paragraph" w:styleId="Spistreci8">
    <w:name w:val="TOC 8"/>
    <w:basedOn w:val="Normal"/>
    <w:next w:val="Normal"/>
    <w:autoRedefine/>
    <w:pPr>
      <w:spacing w:lineRule="auto" w:line="259" w:before="0" w:after="100"/>
      <w:ind w:left="1540" w:right="0" w:hanging="0"/>
      <w:jc w:val="left"/>
    </w:pPr>
    <w:rPr>
      <w:lang w:eastAsia="pl-PL"/>
    </w:rPr>
  </w:style>
  <w:style w:type="paragraph" w:styleId="Spistreci9">
    <w:name w:val="TOC 9"/>
    <w:basedOn w:val="Normal"/>
    <w:next w:val="Normal"/>
    <w:autoRedefine/>
    <w:pPr>
      <w:spacing w:lineRule="auto" w:line="259" w:before="0" w:after="100"/>
      <w:ind w:left="1760" w:right="0" w:hanging="0"/>
      <w:jc w:val="left"/>
    </w:pPr>
    <w:rPr>
      <w:lang w:eastAsia="pl-PL"/>
    </w:rPr>
  </w:style>
  <w:style w:type="paragraph" w:styleId="Default">
    <w:name w:val="Default"/>
    <w:qFormat/>
    <w:pPr>
      <w:widowControl/>
      <w:suppressAutoHyphens w:val="true"/>
      <w:overflowPunct w:val="false"/>
      <w:bidi w:val="0"/>
      <w:spacing w:lineRule="auto" w:line="240" w:before="0" w:after="0"/>
      <w:jc w:val="left"/>
    </w:pPr>
    <w:rPr>
      <w:rFonts w:ascii="Calibri" w:hAnsi="Calibri" w:eastAsia="Cambria" w:cs="Calibri"/>
      <w:color w:val="000000"/>
      <w:kern w:val="0"/>
      <w:sz w:val="24"/>
      <w:szCs w:val="24"/>
      <w:lang w:val="pl-PL" w:eastAsia="en-US" w:bidi="ar-SA"/>
    </w:rPr>
  </w:style>
  <w:style w:type="paragraph" w:styleId="Akapitzlist1">
    <w:name w:val="Akapit z listą1"/>
    <w:basedOn w:val="Normal"/>
    <w:qFormat/>
    <w:pPr>
      <w:suppressAutoHyphens w:val="true"/>
      <w:spacing w:before="0" w:after="200"/>
      <w:ind w:left="720" w:right="0" w:hanging="0"/>
      <w:jc w:val="left"/>
    </w:pPr>
    <w:rPr>
      <w:rFonts w:ascii="Calibri" w:hAnsi="Calibri" w:eastAsia="SimSun" w:cs="Tahoma"/>
      <w:lang w:eastAsia="ar-SA"/>
    </w:rPr>
  </w:style>
  <w:style w:type="paragraph" w:styleId="Zawartotabeli">
    <w:name w:val="Zawartość tabeli"/>
    <w:basedOn w:val="Normal"/>
    <w:qFormat/>
    <w:pPr>
      <w:widowControl w:val="false"/>
      <w:suppressLineNumbers/>
    </w:pPr>
    <w:rPr/>
  </w:style>
  <w:style w:type="paragraph" w:styleId="Tekstpodstawowywcity21">
    <w:name w:val="Tekst podstawowy wcięty 21"/>
    <w:basedOn w:val="Normal"/>
    <w:qFormat/>
    <w:pPr>
      <w:ind w:left="2124" w:right="0" w:hanging="2124"/>
      <w:jc w:val="center"/>
    </w:pPr>
    <w:rPr>
      <w:b/>
      <w:sz w:val="32"/>
    </w:rPr>
  </w:style>
  <w:style w:type="paragraph" w:styleId="Nagwektabeli">
    <w:name w:val="Nagłówek tabeli"/>
    <w:basedOn w:val="Zawartotabeli"/>
    <w:qFormat/>
    <w:pPr>
      <w:suppressLineNumbers/>
      <w:jc w:val="center"/>
    </w:pPr>
    <w:rPr>
      <w:b/>
      <w:bCs/>
    </w:rPr>
  </w:style>
  <w:style w:type="paragraph" w:styleId="Nagwekspisutreci">
    <w:name w:val="TOC Heading"/>
    <w:basedOn w:val="Nagwekindeksu"/>
    <w:pPr>
      <w:suppressLineNumbers/>
      <w:ind w:left="0" w:hanging="0"/>
    </w:pPr>
    <w:rPr>
      <w:b/>
      <w:bCs/>
      <w:sz w:val="32"/>
      <w:szCs w:val="32"/>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832</TotalTime>
  <Application>LibreOffice/7.2.2.2$Windows_X86_64 LibreOffice_project/02b2acce88a210515b4a5bb2e46cbfb63fe97d56</Application>
  <AppVersion>15.0000</AppVersion>
  <Pages>13</Pages>
  <Words>4353</Words>
  <Characters>29424</Characters>
  <CharactersWithSpaces>33603</CharactersWithSpaces>
  <Paragraphs>229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2025-01-02T07:43:00Z</dcterms:created>
  <dc:creator>OLSEN</dc:creator>
  <dc:description/>
  <dc:language>pl-PL</dc:language>
  <cp:lastModifiedBy/>
  <cp:lastPrinted>2024-06-24T08:57:00Z</cp:lastPrinted>
  <dcterms:modified xsi:type="dcterms:W3CDTF">2025-01-23T03:59:59Z</dcterms:modified>
  <cp:revision>42</cp:revision>
  <dc:subject/>
  <dc:title/>
</cp:coreProperties>
</file>

<file path=docProps/custom.xml><?xml version="1.0" encoding="utf-8"?>
<Properties xmlns="http://schemas.openxmlformats.org/officeDocument/2006/custom-properties" xmlns:vt="http://schemas.openxmlformats.org/officeDocument/2006/docPropsVTypes"/>
</file>